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8078B" w14:textId="15BBD2D4" w:rsidR="0039084C" w:rsidRPr="000A2477" w:rsidRDefault="0039084C" w:rsidP="0039084C">
      <w:pPr>
        <w:jc w:val="center"/>
        <w:rPr>
          <w:rFonts w:ascii="Verdana" w:hAnsi="Verdana"/>
          <w:b/>
          <w:sz w:val="22"/>
          <w:szCs w:val="22"/>
          <w:lang w:val="es-MX"/>
        </w:rPr>
      </w:pPr>
      <w:r w:rsidRPr="000A2477">
        <w:rPr>
          <w:rFonts w:ascii="Verdana" w:hAnsi="Verdana"/>
          <w:b/>
          <w:sz w:val="22"/>
          <w:szCs w:val="22"/>
          <w:lang w:val="es-MX"/>
        </w:rPr>
        <w:t>RESOLUCION TAT-</w:t>
      </w:r>
      <w:r w:rsidR="00E445A5">
        <w:rPr>
          <w:rFonts w:ascii="Verdana" w:hAnsi="Verdana"/>
          <w:b/>
          <w:sz w:val="22"/>
          <w:szCs w:val="22"/>
          <w:lang w:val="es-MX"/>
        </w:rPr>
        <w:t>3708-</w:t>
      </w:r>
      <w:r w:rsidRPr="000A2477">
        <w:rPr>
          <w:rFonts w:ascii="Verdana" w:hAnsi="Verdana"/>
          <w:b/>
          <w:sz w:val="22"/>
          <w:szCs w:val="22"/>
          <w:lang w:val="es-MX"/>
        </w:rPr>
        <w:t>2020</w:t>
      </w:r>
    </w:p>
    <w:p w14:paraId="6D561F55" w14:textId="77777777" w:rsidR="0039084C" w:rsidRPr="000A2477" w:rsidRDefault="0039084C" w:rsidP="0039084C">
      <w:pPr>
        <w:jc w:val="center"/>
        <w:rPr>
          <w:rFonts w:ascii="Verdana" w:hAnsi="Verdana"/>
          <w:sz w:val="22"/>
          <w:szCs w:val="22"/>
          <w:lang w:val="es-MX"/>
        </w:rPr>
      </w:pPr>
    </w:p>
    <w:p w14:paraId="52948769" w14:textId="59891593" w:rsidR="0039084C" w:rsidRPr="000A2477" w:rsidRDefault="0039084C" w:rsidP="0039084C">
      <w:pPr>
        <w:jc w:val="both"/>
        <w:rPr>
          <w:rFonts w:ascii="Verdana" w:hAnsi="Verdana"/>
          <w:sz w:val="22"/>
          <w:szCs w:val="22"/>
        </w:rPr>
      </w:pPr>
      <w:r w:rsidRPr="000A2477">
        <w:rPr>
          <w:rFonts w:ascii="Verdana" w:hAnsi="Verdana"/>
          <w:b/>
          <w:sz w:val="22"/>
          <w:szCs w:val="22"/>
        </w:rPr>
        <w:t xml:space="preserve">TRIBUNAL ADMINISTRATIVO DE TRANSPORTE.  </w:t>
      </w:r>
      <w:r w:rsidRPr="000A2477">
        <w:rPr>
          <w:rFonts w:ascii="Verdana" w:hAnsi="Verdana"/>
          <w:sz w:val="22"/>
          <w:szCs w:val="22"/>
        </w:rPr>
        <w:t xml:space="preserve">San José, a las </w:t>
      </w:r>
      <w:r w:rsidR="00E445A5">
        <w:rPr>
          <w:rFonts w:ascii="Verdana" w:hAnsi="Verdana"/>
          <w:sz w:val="22"/>
          <w:szCs w:val="22"/>
        </w:rPr>
        <w:t>diez horas quince minutos del siete de julio</w:t>
      </w:r>
      <w:r w:rsidRPr="000A2477">
        <w:rPr>
          <w:rFonts w:ascii="Verdana" w:hAnsi="Verdana"/>
          <w:sz w:val="22"/>
          <w:szCs w:val="22"/>
        </w:rPr>
        <w:t xml:space="preserve"> de</w:t>
      </w:r>
      <w:r w:rsidR="00E445A5">
        <w:rPr>
          <w:rFonts w:ascii="Verdana" w:hAnsi="Verdana"/>
          <w:sz w:val="22"/>
          <w:szCs w:val="22"/>
        </w:rPr>
        <w:t>l</w:t>
      </w:r>
      <w:r w:rsidRPr="000A2477">
        <w:rPr>
          <w:rFonts w:ascii="Verdana" w:hAnsi="Verdana"/>
          <w:sz w:val="22"/>
          <w:szCs w:val="22"/>
        </w:rPr>
        <w:t xml:space="preserve"> dos mil veinte.</w:t>
      </w:r>
    </w:p>
    <w:p w14:paraId="271BB3CB" w14:textId="77777777" w:rsidR="0039084C" w:rsidRPr="000A2477" w:rsidRDefault="0039084C" w:rsidP="0039084C">
      <w:pPr>
        <w:jc w:val="both"/>
        <w:rPr>
          <w:rFonts w:ascii="Verdana" w:hAnsi="Verdana"/>
          <w:b/>
          <w:sz w:val="22"/>
          <w:szCs w:val="22"/>
        </w:rPr>
      </w:pPr>
    </w:p>
    <w:p w14:paraId="6CCD34C1" w14:textId="26076DED" w:rsidR="0039084C" w:rsidRPr="000A2477" w:rsidRDefault="0039084C" w:rsidP="0039084C">
      <w:pPr>
        <w:jc w:val="both"/>
        <w:rPr>
          <w:rFonts w:ascii="Verdana" w:hAnsi="Verdana"/>
          <w:b/>
          <w:sz w:val="22"/>
          <w:szCs w:val="22"/>
        </w:rPr>
      </w:pPr>
      <w:r w:rsidRPr="000A2477">
        <w:rPr>
          <w:rFonts w:ascii="Verdana" w:hAnsi="Verdana"/>
          <w:b/>
          <w:smallCaps/>
          <w:sz w:val="22"/>
          <w:szCs w:val="22"/>
        </w:rPr>
        <w:t>Recurso de Apelación en subsidio y Nulidad absoluta concomitante</w:t>
      </w:r>
      <w:r w:rsidRPr="000A2477">
        <w:rPr>
          <w:rFonts w:ascii="Verdana" w:hAnsi="Verdana"/>
          <w:smallCaps/>
          <w:sz w:val="22"/>
          <w:szCs w:val="22"/>
        </w:rPr>
        <w:t xml:space="preserve">, </w:t>
      </w:r>
      <w:r w:rsidRPr="000A2477">
        <w:rPr>
          <w:rFonts w:ascii="Verdana" w:hAnsi="Verdana"/>
          <w:sz w:val="22"/>
          <w:szCs w:val="22"/>
        </w:rPr>
        <w:t xml:space="preserve">interpuestos por el señor </w:t>
      </w:r>
      <w:r w:rsidRPr="000A2477">
        <w:rPr>
          <w:rFonts w:ascii="Verdana" w:hAnsi="Verdana"/>
          <w:b/>
          <w:smallCaps/>
          <w:sz w:val="22"/>
          <w:szCs w:val="22"/>
        </w:rPr>
        <w:t>E</w:t>
      </w:r>
      <w:r w:rsidR="00D726B6">
        <w:rPr>
          <w:rFonts w:ascii="Verdana" w:hAnsi="Verdana"/>
          <w:b/>
          <w:smallCaps/>
          <w:sz w:val="22"/>
          <w:szCs w:val="22"/>
        </w:rPr>
        <w:t>.R.B.H.</w:t>
      </w:r>
      <w:r w:rsidRPr="000A2477">
        <w:rPr>
          <w:rFonts w:ascii="Verdana" w:hAnsi="Verdana"/>
          <w:b/>
          <w:smallCaps/>
          <w:sz w:val="22"/>
          <w:szCs w:val="22"/>
        </w:rPr>
        <w:t>,</w:t>
      </w:r>
      <w:r w:rsidRPr="000A2477">
        <w:rPr>
          <w:rFonts w:ascii="Verdana" w:hAnsi="Verdana"/>
          <w:b/>
          <w:sz w:val="22"/>
          <w:szCs w:val="22"/>
        </w:rPr>
        <w:t xml:space="preserve"> cédula de identidad número </w:t>
      </w:r>
      <w:r w:rsidR="00D726B6">
        <w:rPr>
          <w:rFonts w:ascii="Verdana" w:hAnsi="Verdana"/>
          <w:b/>
          <w:sz w:val="22"/>
          <w:szCs w:val="22"/>
        </w:rPr>
        <w:t>…</w:t>
      </w:r>
      <w:r w:rsidRPr="000A2477">
        <w:rPr>
          <w:rFonts w:ascii="Verdana" w:hAnsi="Verdana"/>
          <w:sz w:val="22"/>
          <w:szCs w:val="22"/>
        </w:rPr>
        <w:t>, contra</w:t>
      </w:r>
      <w:r w:rsidRPr="000A2477">
        <w:rPr>
          <w:rFonts w:ascii="Verdana" w:hAnsi="Verdana"/>
          <w:b/>
          <w:sz w:val="22"/>
          <w:szCs w:val="22"/>
        </w:rPr>
        <w:t xml:space="preserve"> </w:t>
      </w:r>
      <w:r w:rsidRPr="000A2477">
        <w:rPr>
          <w:rFonts w:ascii="Verdana" w:hAnsi="Verdana"/>
          <w:sz w:val="22"/>
          <w:szCs w:val="22"/>
        </w:rPr>
        <w:t xml:space="preserve">el </w:t>
      </w:r>
      <w:r w:rsidRPr="000A2477">
        <w:rPr>
          <w:rFonts w:ascii="Verdana" w:hAnsi="Verdana"/>
          <w:b/>
          <w:sz w:val="22"/>
          <w:szCs w:val="22"/>
        </w:rPr>
        <w:t>Artículo 7.4 de la Sesión Ordinaria 74-2019 de 14 de noviembre de 2019</w:t>
      </w:r>
      <w:r w:rsidRPr="000A2477">
        <w:rPr>
          <w:rFonts w:ascii="Verdana" w:hAnsi="Verdana"/>
          <w:sz w:val="22"/>
          <w:szCs w:val="22"/>
        </w:rPr>
        <w:t xml:space="preserve">, dictado por la </w:t>
      </w:r>
      <w:r w:rsidRPr="000A2477">
        <w:rPr>
          <w:rFonts w:ascii="Verdana" w:hAnsi="Verdana"/>
          <w:smallCaps/>
          <w:sz w:val="22"/>
          <w:szCs w:val="22"/>
        </w:rPr>
        <w:t xml:space="preserve">Junta Directiva del Consejo de Transporte Público. </w:t>
      </w:r>
      <w:r w:rsidRPr="000A2477">
        <w:rPr>
          <w:rFonts w:ascii="Verdana" w:hAnsi="Verdana"/>
          <w:b/>
          <w:sz w:val="22"/>
          <w:szCs w:val="22"/>
        </w:rPr>
        <w:t>EL caso es tramitado bajo Expediente Administrativo No. TAT-027-20.</w:t>
      </w:r>
    </w:p>
    <w:p w14:paraId="176DD14B" w14:textId="77777777" w:rsidR="0039084C" w:rsidRPr="000A2477" w:rsidRDefault="0039084C" w:rsidP="0039084C">
      <w:pPr>
        <w:jc w:val="center"/>
        <w:rPr>
          <w:rFonts w:ascii="Verdana" w:hAnsi="Verdana"/>
          <w:sz w:val="22"/>
          <w:szCs w:val="22"/>
          <w:lang w:val="es-MX"/>
        </w:rPr>
      </w:pPr>
    </w:p>
    <w:p w14:paraId="6B02E36A" w14:textId="77777777" w:rsidR="0039084C" w:rsidRPr="000A2477" w:rsidRDefault="0039084C" w:rsidP="0039084C">
      <w:pPr>
        <w:jc w:val="center"/>
        <w:rPr>
          <w:rFonts w:ascii="Verdana" w:hAnsi="Verdana"/>
          <w:b/>
          <w:sz w:val="22"/>
          <w:szCs w:val="22"/>
          <w:lang w:val="es-MX"/>
        </w:rPr>
      </w:pPr>
      <w:r w:rsidRPr="000A2477">
        <w:rPr>
          <w:rFonts w:ascii="Verdana" w:hAnsi="Verdana"/>
          <w:b/>
          <w:sz w:val="22"/>
          <w:szCs w:val="22"/>
          <w:lang w:val="es-MX"/>
        </w:rPr>
        <w:t>RESULTANDO</w:t>
      </w:r>
    </w:p>
    <w:p w14:paraId="68DB4A0C" w14:textId="77777777" w:rsidR="0039084C" w:rsidRPr="000A2477" w:rsidRDefault="0039084C" w:rsidP="0039084C">
      <w:pPr>
        <w:jc w:val="center"/>
        <w:rPr>
          <w:rFonts w:ascii="Verdana" w:hAnsi="Verdana"/>
          <w:b/>
          <w:sz w:val="22"/>
          <w:szCs w:val="22"/>
          <w:lang w:val="es-MX"/>
        </w:rPr>
      </w:pPr>
    </w:p>
    <w:p w14:paraId="109CA75E" w14:textId="2F1A4B73" w:rsidR="0039084C" w:rsidRPr="000A2477" w:rsidRDefault="0039084C" w:rsidP="0039084C">
      <w:pPr>
        <w:jc w:val="both"/>
        <w:rPr>
          <w:rFonts w:ascii="Verdana" w:hAnsi="Verdana"/>
          <w:sz w:val="22"/>
          <w:szCs w:val="22"/>
        </w:rPr>
      </w:pPr>
      <w:r w:rsidRPr="000A2477">
        <w:rPr>
          <w:rFonts w:ascii="Verdana" w:hAnsi="Verdana"/>
          <w:b/>
          <w:sz w:val="22"/>
          <w:szCs w:val="22"/>
          <w:lang w:val="es-MX"/>
        </w:rPr>
        <w:t>PRIMERO:</w:t>
      </w:r>
      <w:r w:rsidRPr="000A2477">
        <w:rPr>
          <w:rFonts w:ascii="Verdana" w:hAnsi="Verdana"/>
          <w:sz w:val="22"/>
          <w:szCs w:val="22"/>
          <w:lang w:val="es-MX"/>
        </w:rPr>
        <w:t xml:space="preserve"> La Junta Directiva del Consejo de Transporte Público </w:t>
      </w:r>
      <w:r w:rsidRPr="000A2477">
        <w:rPr>
          <w:rFonts w:ascii="Verdana" w:hAnsi="Verdana"/>
          <w:sz w:val="22"/>
          <w:szCs w:val="22"/>
        </w:rPr>
        <w:t xml:space="preserve">mediante </w:t>
      </w:r>
      <w:r w:rsidRPr="000A2477">
        <w:rPr>
          <w:rFonts w:ascii="Verdana" w:hAnsi="Verdana"/>
          <w:b/>
          <w:sz w:val="22"/>
          <w:szCs w:val="22"/>
        </w:rPr>
        <w:t xml:space="preserve">Artículo 7.4 de la Sesión Ordinaria 74-2019 de 14 de noviembre de 2019, </w:t>
      </w:r>
      <w:r w:rsidRPr="000A2477">
        <w:rPr>
          <w:rFonts w:ascii="Verdana" w:hAnsi="Verdana"/>
          <w:sz w:val="22"/>
          <w:szCs w:val="22"/>
        </w:rPr>
        <w:t>dispone acoger el informe de la Dirección Asuntos Jurídicos</w:t>
      </w:r>
      <w:r w:rsidRPr="000A2477">
        <w:rPr>
          <w:rFonts w:ascii="Verdana" w:hAnsi="Verdana"/>
          <w:i/>
          <w:sz w:val="22"/>
          <w:szCs w:val="22"/>
        </w:rPr>
        <w:t xml:space="preserve">, </w:t>
      </w:r>
      <w:r w:rsidR="00D503E6">
        <w:rPr>
          <w:rFonts w:ascii="Verdana" w:hAnsi="Verdana"/>
          <w:b/>
          <w:bCs/>
          <w:sz w:val="22"/>
          <w:szCs w:val="22"/>
        </w:rPr>
        <w:t>DACP PT 2019-001666</w:t>
      </w:r>
      <w:r w:rsidRPr="000A2477">
        <w:rPr>
          <w:rFonts w:ascii="Verdana" w:hAnsi="Verdana"/>
          <w:b/>
          <w:bCs/>
          <w:sz w:val="22"/>
          <w:szCs w:val="22"/>
        </w:rPr>
        <w:t xml:space="preserve"> de </w:t>
      </w:r>
      <w:r w:rsidR="00D503E6">
        <w:rPr>
          <w:rFonts w:ascii="Verdana" w:hAnsi="Verdana"/>
          <w:b/>
          <w:bCs/>
          <w:sz w:val="22"/>
          <w:szCs w:val="22"/>
        </w:rPr>
        <w:t>7</w:t>
      </w:r>
      <w:r w:rsidRPr="000A2477">
        <w:rPr>
          <w:rFonts w:ascii="Verdana" w:hAnsi="Verdana"/>
          <w:b/>
          <w:bCs/>
          <w:sz w:val="22"/>
          <w:szCs w:val="22"/>
        </w:rPr>
        <w:t xml:space="preserve"> de noviembre de 20</w:t>
      </w:r>
      <w:r w:rsidR="00D503E6">
        <w:rPr>
          <w:rFonts w:ascii="Verdana" w:hAnsi="Verdana"/>
          <w:b/>
          <w:bCs/>
          <w:sz w:val="22"/>
          <w:szCs w:val="22"/>
        </w:rPr>
        <w:t>1</w:t>
      </w:r>
      <w:r w:rsidRPr="000A2477">
        <w:rPr>
          <w:rFonts w:ascii="Verdana" w:hAnsi="Verdana"/>
          <w:b/>
          <w:bCs/>
          <w:sz w:val="22"/>
          <w:szCs w:val="22"/>
        </w:rPr>
        <w:t xml:space="preserve">9 </w:t>
      </w:r>
      <w:r w:rsidRPr="000A2477">
        <w:rPr>
          <w:rFonts w:ascii="Verdana" w:hAnsi="Verdana"/>
          <w:bCs/>
          <w:sz w:val="22"/>
          <w:szCs w:val="22"/>
        </w:rPr>
        <w:t xml:space="preserve">y dispone declarar la </w:t>
      </w:r>
      <w:r w:rsidR="007C4B2E" w:rsidRPr="000A2477">
        <w:rPr>
          <w:rFonts w:ascii="Verdana" w:hAnsi="Verdana"/>
          <w:bCs/>
          <w:sz w:val="22"/>
          <w:szCs w:val="22"/>
        </w:rPr>
        <w:t>cancelación automática</w:t>
      </w:r>
      <w:r w:rsidRPr="000A2477">
        <w:rPr>
          <w:rFonts w:ascii="Verdana" w:hAnsi="Verdana"/>
          <w:bCs/>
          <w:sz w:val="22"/>
          <w:szCs w:val="22"/>
        </w:rPr>
        <w:t xml:space="preserve"> del derecho de concesión modalidad </w:t>
      </w:r>
      <w:r w:rsidR="00E445A5">
        <w:rPr>
          <w:rFonts w:ascii="Verdana" w:hAnsi="Verdana"/>
          <w:b/>
          <w:sz w:val="22"/>
          <w:szCs w:val="22"/>
        </w:rPr>
        <w:t>Ta</w:t>
      </w:r>
      <w:r w:rsidRPr="000A2477">
        <w:rPr>
          <w:rFonts w:ascii="Verdana" w:hAnsi="Verdana"/>
          <w:b/>
          <w:sz w:val="22"/>
          <w:szCs w:val="22"/>
        </w:rPr>
        <w:t>xi</w:t>
      </w:r>
      <w:r w:rsidR="00E445A5">
        <w:rPr>
          <w:rFonts w:ascii="Verdana" w:hAnsi="Verdana"/>
          <w:b/>
          <w:sz w:val="22"/>
          <w:szCs w:val="22"/>
        </w:rPr>
        <w:t xml:space="preserve"> </w:t>
      </w:r>
      <w:r w:rsidR="007C4B2E" w:rsidRPr="000A2477">
        <w:rPr>
          <w:rFonts w:ascii="Verdana" w:hAnsi="Verdana"/>
          <w:b/>
          <w:sz w:val="22"/>
          <w:szCs w:val="22"/>
        </w:rPr>
        <w:t>TSJ-</w:t>
      </w:r>
      <w:r w:rsidR="00D726B6">
        <w:rPr>
          <w:rFonts w:ascii="Verdana" w:hAnsi="Verdana"/>
          <w:b/>
          <w:sz w:val="22"/>
          <w:szCs w:val="22"/>
        </w:rPr>
        <w:t>XXX</w:t>
      </w:r>
      <w:r w:rsidR="007C4B2E" w:rsidRPr="000A2477">
        <w:rPr>
          <w:rFonts w:ascii="Verdana" w:hAnsi="Verdana"/>
          <w:b/>
          <w:sz w:val="22"/>
          <w:szCs w:val="22"/>
        </w:rPr>
        <w:t xml:space="preserve"> </w:t>
      </w:r>
      <w:r w:rsidRPr="000A2477">
        <w:rPr>
          <w:rFonts w:ascii="Verdana" w:hAnsi="Verdana"/>
          <w:bCs/>
          <w:sz w:val="22"/>
          <w:szCs w:val="22"/>
        </w:rPr>
        <w:t xml:space="preserve">del señor </w:t>
      </w:r>
      <w:r w:rsidR="007C4B2E" w:rsidRPr="000A2477">
        <w:rPr>
          <w:rFonts w:ascii="Verdana" w:hAnsi="Verdana"/>
          <w:b/>
          <w:smallCaps/>
          <w:sz w:val="22"/>
          <w:szCs w:val="22"/>
        </w:rPr>
        <w:t>E</w:t>
      </w:r>
      <w:r w:rsidR="00D726B6">
        <w:rPr>
          <w:rFonts w:ascii="Verdana" w:hAnsi="Verdana"/>
          <w:b/>
          <w:smallCaps/>
          <w:sz w:val="22"/>
          <w:szCs w:val="22"/>
        </w:rPr>
        <w:t>.R.B.H.</w:t>
      </w:r>
      <w:r w:rsidR="007C4B2E" w:rsidRPr="000A2477">
        <w:rPr>
          <w:rFonts w:ascii="Verdana" w:hAnsi="Verdana"/>
          <w:b/>
          <w:smallCaps/>
          <w:sz w:val="22"/>
          <w:szCs w:val="22"/>
        </w:rPr>
        <w:t>,</w:t>
      </w:r>
      <w:r w:rsidR="007C4B2E" w:rsidRPr="000A2477">
        <w:rPr>
          <w:rFonts w:ascii="Verdana" w:hAnsi="Verdana"/>
          <w:b/>
          <w:sz w:val="22"/>
          <w:szCs w:val="22"/>
        </w:rPr>
        <w:t xml:space="preserve"> cédula de identidad número </w:t>
      </w:r>
      <w:r w:rsidR="00D726B6">
        <w:rPr>
          <w:rFonts w:ascii="Verdana" w:hAnsi="Verdana"/>
          <w:b/>
          <w:sz w:val="22"/>
          <w:szCs w:val="22"/>
        </w:rPr>
        <w:t>…</w:t>
      </w:r>
      <w:r w:rsidRPr="000A2477">
        <w:rPr>
          <w:rFonts w:ascii="Verdana" w:hAnsi="Verdana"/>
          <w:bCs/>
          <w:sz w:val="22"/>
          <w:szCs w:val="22"/>
        </w:rPr>
        <w:t xml:space="preserve">, por cuanto </w:t>
      </w:r>
      <w:r w:rsidR="007C4B2E" w:rsidRPr="000A2477">
        <w:rPr>
          <w:rFonts w:ascii="Verdana" w:hAnsi="Verdana"/>
          <w:bCs/>
          <w:sz w:val="22"/>
          <w:szCs w:val="22"/>
        </w:rPr>
        <w:t xml:space="preserve">no cumplió con la renovación del contrato de concesión ni con el plazo adicional establecido en el </w:t>
      </w:r>
      <w:r w:rsidR="007C4B2E" w:rsidRPr="000A2477">
        <w:rPr>
          <w:rFonts w:ascii="Verdana" w:hAnsi="Verdana"/>
          <w:b/>
          <w:sz w:val="22"/>
          <w:szCs w:val="22"/>
        </w:rPr>
        <w:t>acuerdo</w:t>
      </w:r>
      <w:r w:rsidR="007C4B2E" w:rsidRPr="000A2477">
        <w:rPr>
          <w:rFonts w:ascii="Verdana" w:hAnsi="Verdana"/>
          <w:bCs/>
          <w:sz w:val="22"/>
          <w:szCs w:val="22"/>
        </w:rPr>
        <w:t xml:space="preserve"> </w:t>
      </w:r>
      <w:r w:rsidR="007C4B2E" w:rsidRPr="000A2477">
        <w:rPr>
          <w:rFonts w:ascii="Verdana" w:hAnsi="Verdana"/>
          <w:b/>
          <w:sz w:val="22"/>
          <w:szCs w:val="22"/>
        </w:rPr>
        <w:t>7.12 de la Sesión Ordinaria 33-2019 que venció el 31 de octubre de 2019</w:t>
      </w:r>
      <w:r w:rsidRPr="000A2477">
        <w:rPr>
          <w:rFonts w:ascii="Verdana" w:hAnsi="Verdana"/>
          <w:b/>
          <w:sz w:val="22"/>
          <w:szCs w:val="22"/>
        </w:rPr>
        <w:t>.</w:t>
      </w:r>
      <w:r w:rsidRPr="000A2477">
        <w:rPr>
          <w:rFonts w:ascii="Verdana" w:hAnsi="Verdana"/>
          <w:sz w:val="22"/>
          <w:szCs w:val="22"/>
        </w:rPr>
        <w:t xml:space="preserve"> (Léanse folios </w:t>
      </w:r>
      <w:r w:rsidR="007C4B2E" w:rsidRPr="000A2477">
        <w:rPr>
          <w:rFonts w:ascii="Verdana" w:hAnsi="Verdana"/>
          <w:sz w:val="22"/>
          <w:szCs w:val="22"/>
        </w:rPr>
        <w:t>10 y 11</w:t>
      </w:r>
      <w:r w:rsidRPr="000A2477">
        <w:rPr>
          <w:rFonts w:ascii="Verdana" w:hAnsi="Verdana"/>
          <w:sz w:val="22"/>
          <w:szCs w:val="22"/>
        </w:rPr>
        <w:t xml:space="preserve"> del expediente administrativo)</w:t>
      </w:r>
    </w:p>
    <w:p w14:paraId="64CD858E" w14:textId="77777777" w:rsidR="0039084C" w:rsidRPr="000A2477" w:rsidRDefault="0039084C" w:rsidP="0039084C">
      <w:pPr>
        <w:jc w:val="both"/>
        <w:rPr>
          <w:rFonts w:ascii="Verdana" w:hAnsi="Verdana"/>
          <w:sz w:val="22"/>
          <w:szCs w:val="22"/>
          <w:lang w:val="es-CR"/>
        </w:rPr>
      </w:pPr>
    </w:p>
    <w:p w14:paraId="3B899292" w14:textId="3692AFDB" w:rsidR="0039084C" w:rsidRPr="000A2477" w:rsidRDefault="0039084C" w:rsidP="0039084C">
      <w:pPr>
        <w:jc w:val="both"/>
        <w:rPr>
          <w:rFonts w:ascii="Verdana" w:hAnsi="Verdana"/>
          <w:sz w:val="22"/>
          <w:szCs w:val="22"/>
        </w:rPr>
      </w:pPr>
      <w:r w:rsidRPr="000A2477">
        <w:rPr>
          <w:rFonts w:ascii="Verdana" w:hAnsi="Verdana"/>
          <w:b/>
          <w:sz w:val="22"/>
          <w:szCs w:val="22"/>
          <w:lang w:val="es-MX"/>
        </w:rPr>
        <w:t xml:space="preserve">SEGUNDO: </w:t>
      </w:r>
      <w:r w:rsidRPr="000A2477">
        <w:rPr>
          <w:rFonts w:ascii="Verdana" w:hAnsi="Verdana"/>
          <w:sz w:val="22"/>
          <w:szCs w:val="22"/>
          <w:lang w:val="es-MX"/>
        </w:rPr>
        <w:t>E</w:t>
      </w:r>
      <w:r w:rsidRPr="000A2477">
        <w:rPr>
          <w:rFonts w:ascii="Verdana" w:hAnsi="Verdana"/>
          <w:sz w:val="22"/>
          <w:szCs w:val="22"/>
        </w:rPr>
        <w:t xml:space="preserve">l señor </w:t>
      </w:r>
      <w:r w:rsidR="0044375B" w:rsidRPr="000A2477">
        <w:rPr>
          <w:rFonts w:ascii="Verdana" w:hAnsi="Verdana"/>
          <w:b/>
          <w:smallCaps/>
          <w:sz w:val="22"/>
          <w:szCs w:val="22"/>
        </w:rPr>
        <w:t>E</w:t>
      </w:r>
      <w:r w:rsidR="00D726B6">
        <w:rPr>
          <w:rFonts w:ascii="Verdana" w:hAnsi="Verdana"/>
          <w:b/>
          <w:smallCaps/>
          <w:sz w:val="22"/>
          <w:szCs w:val="22"/>
        </w:rPr>
        <w:t>.R.B.H.</w:t>
      </w:r>
      <w:r w:rsidR="0044375B" w:rsidRPr="000A2477">
        <w:rPr>
          <w:rFonts w:ascii="Verdana" w:hAnsi="Verdana"/>
          <w:b/>
          <w:smallCaps/>
          <w:sz w:val="22"/>
          <w:szCs w:val="22"/>
        </w:rPr>
        <w:t>,</w:t>
      </w:r>
      <w:r w:rsidR="0044375B" w:rsidRPr="000A2477">
        <w:rPr>
          <w:rFonts w:ascii="Verdana" w:hAnsi="Verdana"/>
          <w:b/>
          <w:sz w:val="22"/>
          <w:szCs w:val="22"/>
        </w:rPr>
        <w:t xml:space="preserve"> cédula de identidad número </w:t>
      </w:r>
      <w:r w:rsidR="00D726B6">
        <w:rPr>
          <w:rFonts w:ascii="Verdana" w:hAnsi="Verdana"/>
          <w:b/>
          <w:sz w:val="22"/>
          <w:szCs w:val="22"/>
        </w:rPr>
        <w:t>…</w:t>
      </w:r>
      <w:r w:rsidRPr="000A2477">
        <w:rPr>
          <w:rFonts w:ascii="Verdana" w:hAnsi="Verdana"/>
          <w:sz w:val="22"/>
          <w:szCs w:val="22"/>
        </w:rPr>
        <w:t>, en su</w:t>
      </w:r>
      <w:r w:rsidRPr="000A2477">
        <w:rPr>
          <w:rFonts w:ascii="Verdana" w:hAnsi="Verdana"/>
          <w:b/>
          <w:smallCaps/>
          <w:sz w:val="22"/>
          <w:szCs w:val="22"/>
        </w:rPr>
        <w:t xml:space="preserve"> Recurso de Apelación en subsidio</w:t>
      </w:r>
      <w:r w:rsidRPr="000A2477">
        <w:rPr>
          <w:rFonts w:ascii="Verdana" w:hAnsi="Verdana"/>
          <w:b/>
          <w:sz w:val="22"/>
          <w:szCs w:val="22"/>
        </w:rPr>
        <w:t xml:space="preserve">, </w:t>
      </w:r>
      <w:r w:rsidRPr="000A2477">
        <w:rPr>
          <w:rFonts w:ascii="Verdana" w:hAnsi="Verdana"/>
          <w:sz w:val="22"/>
          <w:szCs w:val="22"/>
        </w:rPr>
        <w:t xml:space="preserve">indica en lo </w:t>
      </w:r>
      <w:r w:rsidR="00F23D1F" w:rsidRPr="000A2477">
        <w:rPr>
          <w:rFonts w:ascii="Verdana" w:hAnsi="Verdana"/>
          <w:sz w:val="22"/>
          <w:szCs w:val="22"/>
        </w:rPr>
        <w:t>conducente</w:t>
      </w:r>
      <w:r w:rsidRPr="000A2477">
        <w:rPr>
          <w:rFonts w:ascii="Verdana" w:hAnsi="Verdana"/>
          <w:sz w:val="22"/>
          <w:szCs w:val="22"/>
        </w:rPr>
        <w:t xml:space="preserve"> </w:t>
      </w:r>
      <w:r w:rsidR="00F23D1F" w:rsidRPr="000A2477">
        <w:rPr>
          <w:rFonts w:ascii="Verdana" w:hAnsi="Verdana"/>
          <w:sz w:val="22"/>
          <w:szCs w:val="22"/>
        </w:rPr>
        <w:t xml:space="preserve">que dado la muerte de su padre quien era el concesionario de la placa de </w:t>
      </w:r>
      <w:r w:rsidR="00F23D1F" w:rsidRPr="000A2477">
        <w:rPr>
          <w:rFonts w:ascii="Verdana" w:hAnsi="Verdana"/>
          <w:b/>
          <w:bCs/>
          <w:sz w:val="22"/>
          <w:szCs w:val="22"/>
        </w:rPr>
        <w:t xml:space="preserve">taxi TSJ </w:t>
      </w:r>
      <w:r w:rsidR="00D726B6">
        <w:rPr>
          <w:rFonts w:ascii="Verdana" w:hAnsi="Verdana"/>
          <w:b/>
          <w:bCs/>
          <w:sz w:val="22"/>
          <w:szCs w:val="22"/>
        </w:rPr>
        <w:t>XXX</w:t>
      </w:r>
      <w:r w:rsidR="00F23D1F" w:rsidRPr="000A2477">
        <w:rPr>
          <w:rFonts w:ascii="Verdana" w:hAnsi="Verdana"/>
          <w:sz w:val="22"/>
          <w:szCs w:val="22"/>
        </w:rPr>
        <w:t xml:space="preserve">, por traspaso mortis causa se le otorgó la concesión mediante </w:t>
      </w:r>
      <w:r w:rsidR="00F23D1F" w:rsidRPr="000A2477">
        <w:rPr>
          <w:rFonts w:ascii="Verdana" w:hAnsi="Verdana"/>
          <w:b/>
          <w:bCs/>
          <w:sz w:val="22"/>
          <w:szCs w:val="22"/>
        </w:rPr>
        <w:t xml:space="preserve">acuerdo 5.9 de la SO 001-2014 de fecha 8 de enero de 2014, </w:t>
      </w:r>
      <w:r w:rsidR="00F23D1F" w:rsidRPr="000A2477">
        <w:rPr>
          <w:rFonts w:ascii="Verdana" w:hAnsi="Verdana"/>
          <w:sz w:val="22"/>
          <w:szCs w:val="22"/>
        </w:rPr>
        <w:t>pero ahora en forma extraña se le comunica</w:t>
      </w:r>
      <w:r w:rsidR="00F23D1F" w:rsidRPr="000A2477">
        <w:rPr>
          <w:rFonts w:ascii="Verdana" w:hAnsi="Verdana"/>
          <w:b/>
          <w:bCs/>
          <w:sz w:val="22"/>
          <w:szCs w:val="22"/>
        </w:rPr>
        <w:t xml:space="preserve"> el Oficio DACP-</w:t>
      </w:r>
      <w:r w:rsidR="00410411">
        <w:rPr>
          <w:rFonts w:ascii="Verdana" w:hAnsi="Verdana"/>
          <w:b/>
          <w:bCs/>
          <w:sz w:val="22"/>
          <w:szCs w:val="22"/>
        </w:rPr>
        <w:t>PT-</w:t>
      </w:r>
      <w:r w:rsidR="00E445A5">
        <w:rPr>
          <w:rFonts w:ascii="Verdana" w:hAnsi="Verdana"/>
          <w:b/>
          <w:bCs/>
          <w:sz w:val="22"/>
          <w:szCs w:val="22"/>
        </w:rPr>
        <w:t>2019-18</w:t>
      </w:r>
      <w:r w:rsidR="00916654">
        <w:rPr>
          <w:rFonts w:ascii="Verdana" w:hAnsi="Verdana"/>
          <w:b/>
          <w:bCs/>
          <w:sz w:val="22"/>
          <w:szCs w:val="22"/>
        </w:rPr>
        <w:t>1</w:t>
      </w:r>
      <w:r w:rsidR="00E445A5">
        <w:rPr>
          <w:rFonts w:ascii="Verdana" w:hAnsi="Verdana"/>
          <w:b/>
          <w:bCs/>
          <w:sz w:val="22"/>
          <w:szCs w:val="22"/>
        </w:rPr>
        <w:t>1</w:t>
      </w:r>
      <w:r w:rsidR="00F23D1F" w:rsidRPr="000A2477">
        <w:rPr>
          <w:rFonts w:ascii="Verdana" w:hAnsi="Verdana"/>
          <w:b/>
          <w:bCs/>
          <w:sz w:val="22"/>
          <w:szCs w:val="22"/>
        </w:rPr>
        <w:t xml:space="preserve"> </w:t>
      </w:r>
      <w:r w:rsidR="00F23D1F" w:rsidRPr="000A2477">
        <w:rPr>
          <w:rFonts w:ascii="Verdana" w:hAnsi="Verdana"/>
          <w:sz w:val="22"/>
          <w:szCs w:val="22"/>
        </w:rPr>
        <w:t>donde se le</w:t>
      </w:r>
      <w:r w:rsidR="00B22DEA" w:rsidRPr="000A2477">
        <w:rPr>
          <w:rFonts w:ascii="Verdana" w:hAnsi="Verdana"/>
          <w:sz w:val="22"/>
          <w:szCs w:val="22"/>
        </w:rPr>
        <w:t xml:space="preserve"> </w:t>
      </w:r>
      <w:r w:rsidR="00410411">
        <w:rPr>
          <w:rFonts w:ascii="Verdana" w:hAnsi="Verdana"/>
          <w:sz w:val="22"/>
          <w:szCs w:val="22"/>
        </w:rPr>
        <w:t xml:space="preserve">remite </w:t>
      </w:r>
      <w:r w:rsidR="00B22DEA" w:rsidRPr="000A2477">
        <w:rPr>
          <w:rFonts w:ascii="Verdana" w:hAnsi="Verdana"/>
          <w:sz w:val="22"/>
          <w:szCs w:val="22"/>
        </w:rPr>
        <w:t>el acuerdo recurrido en el que se le comunica que se le cancela la concesión, sin embargo en el expediente de la concesión no consta ningún procedimiento administrativo ordinario que se le haya seguido, única forma para poder cancelarle derechos subjetivos mismos que ha ejercido en debida forma, por lo que sin un debido proceso jamás se le puede cancelar su concesión</w:t>
      </w:r>
      <w:r w:rsidR="00F23D1F" w:rsidRPr="000A2477">
        <w:rPr>
          <w:rFonts w:ascii="Verdana" w:hAnsi="Verdana"/>
          <w:sz w:val="22"/>
          <w:szCs w:val="22"/>
        </w:rPr>
        <w:t xml:space="preserve"> </w:t>
      </w:r>
      <w:r w:rsidRPr="000A2477">
        <w:rPr>
          <w:rFonts w:ascii="Verdana" w:hAnsi="Verdana"/>
          <w:sz w:val="22"/>
          <w:szCs w:val="22"/>
        </w:rPr>
        <w:t xml:space="preserve">. (Léase folio </w:t>
      </w:r>
      <w:r w:rsidR="00B22DEA" w:rsidRPr="000A2477">
        <w:rPr>
          <w:rFonts w:ascii="Verdana" w:hAnsi="Verdana"/>
          <w:sz w:val="22"/>
          <w:szCs w:val="22"/>
        </w:rPr>
        <w:t>9</w:t>
      </w:r>
      <w:r w:rsidRPr="000A2477">
        <w:rPr>
          <w:rFonts w:ascii="Verdana" w:hAnsi="Verdana"/>
          <w:sz w:val="22"/>
          <w:szCs w:val="22"/>
        </w:rPr>
        <w:t xml:space="preserve"> del expediente administrativo) </w:t>
      </w:r>
    </w:p>
    <w:p w14:paraId="27C8B9CA" w14:textId="77777777" w:rsidR="0039084C" w:rsidRPr="000A2477" w:rsidRDefault="0039084C" w:rsidP="0039084C">
      <w:pPr>
        <w:jc w:val="both"/>
        <w:rPr>
          <w:rFonts w:ascii="Verdana" w:hAnsi="Verdana"/>
          <w:sz w:val="22"/>
          <w:szCs w:val="22"/>
        </w:rPr>
      </w:pPr>
    </w:p>
    <w:p w14:paraId="5A8C508D" w14:textId="07A7C1DE" w:rsidR="0039084C" w:rsidRPr="000A2477" w:rsidRDefault="0039084C" w:rsidP="0039084C">
      <w:pPr>
        <w:jc w:val="both"/>
        <w:rPr>
          <w:rFonts w:ascii="Verdana" w:hAnsi="Verdana"/>
          <w:sz w:val="22"/>
          <w:szCs w:val="22"/>
          <w:lang w:val="es-MX"/>
        </w:rPr>
      </w:pPr>
      <w:r w:rsidRPr="000A2477">
        <w:rPr>
          <w:rFonts w:ascii="Verdana" w:hAnsi="Verdana"/>
          <w:b/>
          <w:sz w:val="22"/>
          <w:szCs w:val="22"/>
          <w:lang w:val="es-MX"/>
        </w:rPr>
        <w:t xml:space="preserve">TERCERO: </w:t>
      </w:r>
      <w:r w:rsidRPr="000A2477">
        <w:rPr>
          <w:rFonts w:ascii="Verdana" w:hAnsi="Verdana"/>
          <w:sz w:val="22"/>
          <w:szCs w:val="22"/>
          <w:lang w:val="es-MX"/>
        </w:rPr>
        <w:t xml:space="preserve">La Junta Directiva del Consejo de Transporte Público mediante </w:t>
      </w:r>
      <w:r w:rsidRPr="000A2477">
        <w:rPr>
          <w:rFonts w:ascii="Verdana" w:hAnsi="Verdana"/>
          <w:b/>
          <w:sz w:val="22"/>
          <w:szCs w:val="22"/>
          <w:lang w:val="es-MX"/>
        </w:rPr>
        <w:t>Artículo 7.</w:t>
      </w:r>
      <w:r w:rsidR="00B22DEA" w:rsidRPr="000A2477">
        <w:rPr>
          <w:rFonts w:ascii="Verdana" w:hAnsi="Verdana"/>
          <w:b/>
          <w:sz w:val="22"/>
          <w:szCs w:val="22"/>
          <w:lang w:val="es-MX"/>
        </w:rPr>
        <w:t>5.2</w:t>
      </w:r>
      <w:r w:rsidRPr="000A2477">
        <w:rPr>
          <w:rFonts w:ascii="Verdana" w:hAnsi="Verdana"/>
          <w:b/>
          <w:sz w:val="22"/>
          <w:szCs w:val="22"/>
          <w:lang w:val="es-MX"/>
        </w:rPr>
        <w:t xml:space="preserve"> de la Sesión Ordinaria 41-20</w:t>
      </w:r>
      <w:r w:rsidR="00B22DEA" w:rsidRPr="000A2477">
        <w:rPr>
          <w:rFonts w:ascii="Verdana" w:hAnsi="Verdana"/>
          <w:b/>
          <w:sz w:val="22"/>
          <w:szCs w:val="22"/>
          <w:lang w:val="es-MX"/>
        </w:rPr>
        <w:t>20</w:t>
      </w:r>
      <w:r w:rsidRPr="000A2477">
        <w:rPr>
          <w:rFonts w:ascii="Verdana" w:hAnsi="Verdana"/>
          <w:b/>
          <w:sz w:val="22"/>
          <w:szCs w:val="22"/>
          <w:lang w:val="es-MX"/>
        </w:rPr>
        <w:t xml:space="preserve"> de </w:t>
      </w:r>
      <w:r w:rsidR="00B22DEA" w:rsidRPr="000A2477">
        <w:rPr>
          <w:rFonts w:ascii="Verdana" w:hAnsi="Verdana"/>
          <w:b/>
          <w:sz w:val="22"/>
          <w:szCs w:val="22"/>
          <w:lang w:val="es-MX"/>
        </w:rPr>
        <w:t>28</w:t>
      </w:r>
      <w:r w:rsidRPr="000A2477">
        <w:rPr>
          <w:rFonts w:ascii="Verdana" w:hAnsi="Verdana"/>
          <w:b/>
          <w:sz w:val="22"/>
          <w:szCs w:val="22"/>
          <w:lang w:val="es-MX"/>
        </w:rPr>
        <w:t xml:space="preserve"> de </w:t>
      </w:r>
      <w:r w:rsidR="00B22DEA" w:rsidRPr="000A2477">
        <w:rPr>
          <w:rFonts w:ascii="Verdana" w:hAnsi="Verdana"/>
          <w:b/>
          <w:sz w:val="22"/>
          <w:szCs w:val="22"/>
          <w:lang w:val="es-MX"/>
        </w:rPr>
        <w:t>mayo</w:t>
      </w:r>
      <w:r w:rsidRPr="000A2477">
        <w:rPr>
          <w:rFonts w:ascii="Verdana" w:hAnsi="Verdana"/>
          <w:b/>
          <w:sz w:val="22"/>
          <w:szCs w:val="22"/>
          <w:lang w:val="es-MX"/>
        </w:rPr>
        <w:t xml:space="preserve"> de 20</w:t>
      </w:r>
      <w:r w:rsidR="00B22DEA" w:rsidRPr="000A2477">
        <w:rPr>
          <w:rFonts w:ascii="Verdana" w:hAnsi="Verdana"/>
          <w:b/>
          <w:sz w:val="22"/>
          <w:szCs w:val="22"/>
          <w:lang w:val="es-MX"/>
        </w:rPr>
        <w:t>20</w:t>
      </w:r>
      <w:r w:rsidRPr="000A2477">
        <w:rPr>
          <w:rFonts w:ascii="Verdana" w:hAnsi="Verdana"/>
          <w:sz w:val="22"/>
          <w:szCs w:val="22"/>
          <w:lang w:val="es-MX"/>
        </w:rPr>
        <w:t xml:space="preserve">, aprueba el informe de la </w:t>
      </w:r>
      <w:r w:rsidRPr="000A2477">
        <w:rPr>
          <w:rFonts w:ascii="Verdana" w:hAnsi="Verdana"/>
          <w:b/>
          <w:sz w:val="22"/>
          <w:szCs w:val="22"/>
          <w:lang w:val="es-MX"/>
        </w:rPr>
        <w:t xml:space="preserve">Dirección de Asuntos Jurídicos el </w:t>
      </w:r>
      <w:r w:rsidR="00916654">
        <w:rPr>
          <w:rFonts w:ascii="Verdana" w:hAnsi="Verdana"/>
          <w:b/>
          <w:sz w:val="22"/>
          <w:szCs w:val="22"/>
          <w:lang w:val="es-MX"/>
        </w:rPr>
        <w:t xml:space="preserve">                                       </w:t>
      </w:r>
      <w:r w:rsidR="00D804C0" w:rsidRPr="000A2477">
        <w:rPr>
          <w:rFonts w:ascii="Verdana" w:hAnsi="Verdana"/>
          <w:b/>
          <w:sz w:val="22"/>
          <w:szCs w:val="22"/>
          <w:lang w:val="es-MX"/>
        </w:rPr>
        <w:t>CTP-</w:t>
      </w:r>
      <w:r w:rsidRPr="000A2477">
        <w:rPr>
          <w:rFonts w:ascii="Verdana" w:hAnsi="Verdana"/>
          <w:b/>
          <w:sz w:val="22"/>
          <w:szCs w:val="22"/>
          <w:lang w:val="es-MX"/>
        </w:rPr>
        <w:t>AJ-</w:t>
      </w:r>
      <w:r w:rsidR="00D804C0" w:rsidRPr="000A2477">
        <w:rPr>
          <w:rFonts w:ascii="Verdana" w:hAnsi="Verdana"/>
          <w:b/>
          <w:sz w:val="22"/>
          <w:szCs w:val="22"/>
          <w:lang w:val="es-MX"/>
        </w:rPr>
        <w:t>OF-</w:t>
      </w:r>
      <w:r w:rsidRPr="000A2477">
        <w:rPr>
          <w:rFonts w:ascii="Verdana" w:hAnsi="Verdana"/>
          <w:b/>
          <w:sz w:val="22"/>
          <w:szCs w:val="22"/>
          <w:lang w:val="es-MX"/>
        </w:rPr>
        <w:t>20</w:t>
      </w:r>
      <w:r w:rsidR="00D804C0" w:rsidRPr="000A2477">
        <w:rPr>
          <w:rFonts w:ascii="Verdana" w:hAnsi="Verdana"/>
          <w:b/>
          <w:sz w:val="22"/>
          <w:szCs w:val="22"/>
          <w:lang w:val="es-MX"/>
        </w:rPr>
        <w:t>20</w:t>
      </w:r>
      <w:r w:rsidRPr="000A2477">
        <w:rPr>
          <w:rFonts w:ascii="Verdana" w:hAnsi="Verdana"/>
          <w:b/>
          <w:sz w:val="22"/>
          <w:szCs w:val="22"/>
          <w:lang w:val="es-MX"/>
        </w:rPr>
        <w:t>-0</w:t>
      </w:r>
      <w:r w:rsidR="00D804C0" w:rsidRPr="000A2477">
        <w:rPr>
          <w:rFonts w:ascii="Verdana" w:hAnsi="Verdana"/>
          <w:b/>
          <w:sz w:val="22"/>
          <w:szCs w:val="22"/>
          <w:lang w:val="es-MX"/>
        </w:rPr>
        <w:t>709</w:t>
      </w:r>
      <w:r w:rsidRPr="000A2477">
        <w:rPr>
          <w:rFonts w:ascii="Verdana" w:hAnsi="Verdana"/>
          <w:b/>
          <w:sz w:val="22"/>
          <w:szCs w:val="22"/>
          <w:lang w:val="es-MX"/>
        </w:rPr>
        <w:t xml:space="preserve">  de </w:t>
      </w:r>
      <w:r w:rsidR="00D804C0" w:rsidRPr="000A2477">
        <w:rPr>
          <w:rFonts w:ascii="Verdana" w:hAnsi="Verdana"/>
          <w:b/>
          <w:sz w:val="22"/>
          <w:szCs w:val="22"/>
          <w:lang w:val="es-MX"/>
        </w:rPr>
        <w:t>15 de mayo 2020</w:t>
      </w:r>
      <w:r w:rsidRPr="000A2477">
        <w:rPr>
          <w:rFonts w:ascii="Verdana" w:hAnsi="Verdana"/>
          <w:sz w:val="22"/>
          <w:szCs w:val="22"/>
          <w:lang w:val="es-MX"/>
        </w:rPr>
        <w:t xml:space="preserve"> y rechaza el recurso de Revocatoria </w:t>
      </w:r>
      <w:r w:rsidR="00D804C0" w:rsidRPr="000A2477">
        <w:rPr>
          <w:rFonts w:ascii="Verdana" w:hAnsi="Verdana"/>
          <w:sz w:val="22"/>
          <w:szCs w:val="22"/>
          <w:lang w:val="es-MX"/>
        </w:rPr>
        <w:t xml:space="preserve">y la nulidad por improcedente, al considerar que no se causa perjuicio al recurrente por cuanto la concesión ya es inexistente por el advenimiento de su plazo y  </w:t>
      </w:r>
      <w:r w:rsidR="00916654">
        <w:rPr>
          <w:rFonts w:ascii="Verdana" w:hAnsi="Verdana"/>
          <w:sz w:val="22"/>
          <w:szCs w:val="22"/>
          <w:lang w:val="es-MX"/>
        </w:rPr>
        <w:t xml:space="preserve">no </w:t>
      </w:r>
      <w:r w:rsidR="00D804C0" w:rsidRPr="000A2477">
        <w:rPr>
          <w:rFonts w:ascii="Verdana" w:hAnsi="Verdana"/>
          <w:sz w:val="22"/>
          <w:szCs w:val="22"/>
          <w:lang w:val="es-MX"/>
        </w:rPr>
        <w:t>haberse renovado la misma.</w:t>
      </w:r>
      <w:r w:rsidRPr="000A2477">
        <w:rPr>
          <w:rFonts w:ascii="Verdana" w:hAnsi="Verdana"/>
          <w:sz w:val="22"/>
          <w:szCs w:val="22"/>
          <w:lang w:val="es-MX"/>
        </w:rPr>
        <w:t xml:space="preserve"> (Léase folios del </w:t>
      </w:r>
      <w:r w:rsidR="00D804C0" w:rsidRPr="000A2477">
        <w:rPr>
          <w:rFonts w:ascii="Verdana" w:hAnsi="Verdana"/>
          <w:sz w:val="22"/>
          <w:szCs w:val="22"/>
          <w:lang w:val="es-MX"/>
        </w:rPr>
        <w:t>2</w:t>
      </w:r>
      <w:r w:rsidRPr="000A2477">
        <w:rPr>
          <w:rFonts w:ascii="Verdana" w:hAnsi="Verdana"/>
          <w:sz w:val="22"/>
          <w:szCs w:val="22"/>
          <w:lang w:val="es-MX"/>
        </w:rPr>
        <w:t xml:space="preserve"> al </w:t>
      </w:r>
      <w:r w:rsidR="00D804C0" w:rsidRPr="000A2477">
        <w:rPr>
          <w:rFonts w:ascii="Verdana" w:hAnsi="Verdana"/>
          <w:sz w:val="22"/>
          <w:szCs w:val="22"/>
          <w:lang w:val="es-MX"/>
        </w:rPr>
        <w:t>7</w:t>
      </w:r>
      <w:r w:rsidRPr="000A2477">
        <w:rPr>
          <w:rFonts w:ascii="Verdana" w:hAnsi="Verdana"/>
          <w:sz w:val="22"/>
          <w:szCs w:val="22"/>
          <w:lang w:val="es-MX"/>
        </w:rPr>
        <w:t xml:space="preserve"> del expediente administrativo).</w:t>
      </w:r>
    </w:p>
    <w:p w14:paraId="53FB06B7" w14:textId="77777777" w:rsidR="0039084C" w:rsidRPr="000A2477" w:rsidRDefault="0039084C" w:rsidP="0039084C">
      <w:pPr>
        <w:jc w:val="both"/>
        <w:rPr>
          <w:rFonts w:ascii="Verdana" w:hAnsi="Verdana"/>
          <w:b/>
          <w:sz w:val="22"/>
          <w:szCs w:val="22"/>
          <w:lang w:val="es-MX"/>
        </w:rPr>
      </w:pPr>
    </w:p>
    <w:p w14:paraId="435AB40D" w14:textId="2A13AD1A" w:rsidR="00835823" w:rsidRPr="001620F4" w:rsidRDefault="0039084C" w:rsidP="000A2477">
      <w:pPr>
        <w:jc w:val="both"/>
        <w:rPr>
          <w:rFonts w:ascii="Verdana" w:hAnsi="Verdana"/>
          <w:bCs/>
          <w:sz w:val="22"/>
          <w:szCs w:val="22"/>
          <w:lang w:val="es-MX"/>
        </w:rPr>
      </w:pPr>
      <w:r w:rsidRPr="000A2477">
        <w:rPr>
          <w:rFonts w:ascii="Verdana" w:hAnsi="Verdana"/>
          <w:b/>
          <w:sz w:val="22"/>
          <w:szCs w:val="22"/>
          <w:lang w:val="es-MX"/>
        </w:rPr>
        <w:t>CUARTO:</w:t>
      </w:r>
      <w:r w:rsidRPr="000A2477">
        <w:rPr>
          <w:rFonts w:ascii="Verdana" w:hAnsi="Verdana"/>
          <w:b/>
          <w:sz w:val="22"/>
          <w:szCs w:val="22"/>
        </w:rPr>
        <w:t xml:space="preserve"> </w:t>
      </w:r>
      <w:r w:rsidR="00835823" w:rsidRPr="000A2477">
        <w:rPr>
          <w:rFonts w:ascii="Verdana" w:hAnsi="Verdana"/>
          <w:bCs/>
          <w:sz w:val="22"/>
          <w:szCs w:val="22"/>
          <w:lang w:val="es-MX"/>
        </w:rPr>
        <w:t xml:space="preserve">Del expediente que eleva el Consejo de Transporte Público, se puede verificar el </w:t>
      </w:r>
      <w:bookmarkStart w:id="0" w:name="_Hlk43900776"/>
      <w:r w:rsidR="00835823" w:rsidRPr="000A2477">
        <w:rPr>
          <w:rFonts w:ascii="Verdana" w:hAnsi="Verdana"/>
          <w:b/>
          <w:sz w:val="22"/>
          <w:szCs w:val="22"/>
          <w:lang w:val="es-MX"/>
        </w:rPr>
        <w:t xml:space="preserve">acuerdo 7.12 de la Sesión Ordinaria 33-2019 del 13 de junio </w:t>
      </w:r>
      <w:r w:rsidR="00835823" w:rsidRPr="000A2477">
        <w:rPr>
          <w:rFonts w:ascii="Verdana" w:hAnsi="Verdana"/>
          <w:b/>
          <w:sz w:val="22"/>
          <w:szCs w:val="22"/>
          <w:lang w:val="es-MX"/>
        </w:rPr>
        <w:lastRenderedPageBreak/>
        <w:t xml:space="preserve">de </w:t>
      </w:r>
      <w:proofErr w:type="gramStart"/>
      <w:r w:rsidR="00835823" w:rsidRPr="000A2477">
        <w:rPr>
          <w:rFonts w:ascii="Verdana" w:hAnsi="Verdana"/>
          <w:b/>
          <w:sz w:val="22"/>
          <w:szCs w:val="22"/>
          <w:lang w:val="es-MX"/>
        </w:rPr>
        <w:t>2019</w:t>
      </w:r>
      <w:bookmarkEnd w:id="0"/>
      <w:r w:rsidR="00835823" w:rsidRPr="000A2477">
        <w:rPr>
          <w:rFonts w:ascii="Verdana" w:hAnsi="Verdana"/>
          <w:bCs/>
          <w:sz w:val="22"/>
          <w:szCs w:val="22"/>
          <w:lang w:val="es-MX"/>
        </w:rPr>
        <w:t>,  en</w:t>
      </w:r>
      <w:proofErr w:type="gramEnd"/>
      <w:r w:rsidR="00835823" w:rsidRPr="000A2477">
        <w:rPr>
          <w:rFonts w:ascii="Verdana" w:hAnsi="Verdana"/>
          <w:bCs/>
          <w:sz w:val="22"/>
          <w:szCs w:val="22"/>
          <w:lang w:val="es-MX"/>
        </w:rPr>
        <w:t xml:space="preserve"> el que la Junta Directiva del Consejo de Transporte Público determina lo siguiente: </w:t>
      </w:r>
      <w:r w:rsidR="00835823" w:rsidRPr="001620F4">
        <w:rPr>
          <w:rFonts w:ascii="Verdana" w:hAnsi="Verdana"/>
          <w:bCs/>
          <w:sz w:val="22"/>
          <w:szCs w:val="22"/>
          <w:lang w:val="es-MX"/>
        </w:rPr>
        <w:t xml:space="preserve">(ver folios del </w:t>
      </w:r>
      <w:r w:rsidR="001620F4" w:rsidRPr="001620F4">
        <w:rPr>
          <w:rFonts w:ascii="Verdana" w:hAnsi="Verdana"/>
          <w:bCs/>
          <w:sz w:val="22"/>
          <w:szCs w:val="22"/>
          <w:lang w:val="es-MX"/>
        </w:rPr>
        <w:t>24</w:t>
      </w:r>
      <w:r w:rsidR="00835823" w:rsidRPr="001620F4">
        <w:rPr>
          <w:rFonts w:ascii="Verdana" w:hAnsi="Verdana"/>
          <w:bCs/>
          <w:sz w:val="22"/>
          <w:szCs w:val="22"/>
          <w:lang w:val="es-MX"/>
        </w:rPr>
        <w:t xml:space="preserve">   al  </w:t>
      </w:r>
      <w:r w:rsidR="001620F4" w:rsidRPr="001620F4">
        <w:rPr>
          <w:rFonts w:ascii="Verdana" w:hAnsi="Verdana"/>
          <w:bCs/>
          <w:sz w:val="22"/>
          <w:szCs w:val="22"/>
          <w:lang w:val="es-MX"/>
        </w:rPr>
        <w:t>29</w:t>
      </w:r>
      <w:r w:rsidR="00835823" w:rsidRPr="001620F4">
        <w:rPr>
          <w:rFonts w:ascii="Verdana" w:hAnsi="Verdana"/>
          <w:bCs/>
          <w:sz w:val="22"/>
          <w:szCs w:val="22"/>
          <w:lang w:val="es-MX"/>
        </w:rPr>
        <w:t xml:space="preserve"> del expediente administrativo)</w:t>
      </w:r>
    </w:p>
    <w:p w14:paraId="17402EDB" w14:textId="77777777" w:rsidR="00835823" w:rsidRPr="000A2477" w:rsidRDefault="00835823" w:rsidP="00835823">
      <w:pPr>
        <w:ind w:left="397" w:right="340"/>
        <w:jc w:val="both"/>
        <w:rPr>
          <w:rFonts w:ascii="Verdana" w:hAnsi="Verdana"/>
          <w:b/>
          <w:bCs/>
          <w:i/>
          <w:iCs/>
          <w:sz w:val="20"/>
          <w:szCs w:val="20"/>
        </w:rPr>
      </w:pPr>
    </w:p>
    <w:p w14:paraId="09BA38E2" w14:textId="62EF469D" w:rsidR="00835823" w:rsidRPr="000A2477" w:rsidRDefault="00835823" w:rsidP="00835823">
      <w:pPr>
        <w:ind w:left="397" w:right="340"/>
        <w:jc w:val="both"/>
        <w:rPr>
          <w:rFonts w:ascii="Verdana" w:hAnsi="Verdana"/>
          <w:i/>
          <w:iCs/>
          <w:sz w:val="20"/>
          <w:szCs w:val="20"/>
        </w:rPr>
      </w:pPr>
      <w:r w:rsidRPr="000A2477">
        <w:rPr>
          <w:rFonts w:ascii="Verdana" w:hAnsi="Verdana"/>
          <w:b/>
          <w:bCs/>
          <w:i/>
          <w:iCs/>
          <w:sz w:val="20"/>
          <w:szCs w:val="20"/>
        </w:rPr>
        <w:t xml:space="preserve">“ARTICULO 7.12.- </w:t>
      </w:r>
      <w:r w:rsidRPr="000A2477">
        <w:rPr>
          <w:rFonts w:ascii="Verdana" w:hAnsi="Verdana"/>
          <w:i/>
          <w:iCs/>
          <w:sz w:val="20"/>
          <w:szCs w:val="20"/>
        </w:rPr>
        <w:t>Se conocen informes sobre concesiones de taxi que no poseen contrato de renovación firmado y dentro de los cuales se recomienda la cancelación automática de conformidad con el artículo 40, inciso f) de la Ley 7969:</w:t>
      </w:r>
    </w:p>
    <w:p w14:paraId="4824E7A1" w14:textId="77777777" w:rsidR="00835823" w:rsidRPr="000A2477" w:rsidRDefault="00835823" w:rsidP="00835823">
      <w:pPr>
        <w:ind w:left="397" w:right="340"/>
        <w:jc w:val="both"/>
        <w:rPr>
          <w:rFonts w:ascii="Verdana" w:hAnsi="Verdana"/>
          <w:i/>
          <w:iCs/>
          <w:sz w:val="20"/>
          <w:szCs w:val="20"/>
        </w:rPr>
      </w:pPr>
      <w:r w:rsidRPr="000A2477">
        <w:rPr>
          <w:rFonts w:ascii="Verdana" w:hAnsi="Verdana"/>
          <w:i/>
          <w:iCs/>
          <w:sz w:val="20"/>
          <w:szCs w:val="20"/>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879"/>
        <w:gridCol w:w="1879"/>
        <w:gridCol w:w="1879"/>
        <w:gridCol w:w="1879"/>
        <w:gridCol w:w="1879"/>
      </w:tblGrid>
      <w:tr w:rsidR="00835823" w:rsidRPr="000A2477" w14:paraId="7EFE93AE" w14:textId="77777777" w:rsidTr="00185415">
        <w:trPr>
          <w:trHeight w:val="244"/>
        </w:trPr>
        <w:tc>
          <w:tcPr>
            <w:tcW w:w="1879" w:type="dxa"/>
          </w:tcPr>
          <w:p w14:paraId="4AD6E7CD" w14:textId="3BB8D43D" w:rsidR="00835823" w:rsidRPr="000A2477" w:rsidRDefault="00835823" w:rsidP="00185415">
            <w:pPr>
              <w:autoSpaceDE w:val="0"/>
              <w:autoSpaceDN w:val="0"/>
              <w:adjustRightInd w:val="0"/>
              <w:ind w:left="397" w:right="340"/>
              <w:rPr>
                <w:rFonts w:ascii="Verdana" w:hAnsi="Verdana" w:cs="Calibri"/>
                <w:b/>
                <w:bCs/>
                <w:i/>
                <w:iCs/>
                <w:color w:val="000000"/>
                <w:sz w:val="16"/>
                <w:szCs w:val="16"/>
              </w:rPr>
            </w:pPr>
          </w:p>
        </w:tc>
        <w:tc>
          <w:tcPr>
            <w:tcW w:w="1879" w:type="dxa"/>
          </w:tcPr>
          <w:p w14:paraId="318774EC" w14:textId="01DAA356" w:rsidR="00835823" w:rsidRPr="000A2477" w:rsidRDefault="00835823" w:rsidP="00185415">
            <w:pPr>
              <w:autoSpaceDE w:val="0"/>
              <w:autoSpaceDN w:val="0"/>
              <w:adjustRightInd w:val="0"/>
              <w:ind w:left="397" w:right="340"/>
              <w:rPr>
                <w:rFonts w:ascii="Verdana" w:hAnsi="Verdana" w:cs="Calibri"/>
                <w:i/>
                <w:iCs/>
                <w:color w:val="000000"/>
                <w:sz w:val="16"/>
                <w:szCs w:val="16"/>
              </w:rPr>
            </w:pPr>
          </w:p>
        </w:tc>
        <w:tc>
          <w:tcPr>
            <w:tcW w:w="1879" w:type="dxa"/>
          </w:tcPr>
          <w:p w14:paraId="349D4638" w14:textId="67BE128D" w:rsidR="00835823" w:rsidRPr="000A2477" w:rsidRDefault="00835823" w:rsidP="00185415">
            <w:pPr>
              <w:autoSpaceDE w:val="0"/>
              <w:autoSpaceDN w:val="0"/>
              <w:adjustRightInd w:val="0"/>
              <w:ind w:left="397" w:right="340"/>
              <w:rPr>
                <w:rFonts w:ascii="Verdana" w:hAnsi="Verdana" w:cs="Calibri"/>
                <w:i/>
                <w:iCs/>
                <w:color w:val="000000"/>
                <w:sz w:val="16"/>
                <w:szCs w:val="16"/>
              </w:rPr>
            </w:pPr>
          </w:p>
        </w:tc>
        <w:tc>
          <w:tcPr>
            <w:tcW w:w="1879" w:type="dxa"/>
          </w:tcPr>
          <w:p w14:paraId="109BACEF" w14:textId="6E3E5133" w:rsidR="00835823" w:rsidRPr="000A2477" w:rsidRDefault="00835823" w:rsidP="00185415">
            <w:pPr>
              <w:autoSpaceDE w:val="0"/>
              <w:autoSpaceDN w:val="0"/>
              <w:adjustRightInd w:val="0"/>
              <w:ind w:left="397" w:right="340"/>
              <w:rPr>
                <w:rFonts w:ascii="Verdana" w:hAnsi="Verdana" w:cs="Calibri"/>
                <w:i/>
                <w:iCs/>
                <w:color w:val="000000"/>
                <w:sz w:val="16"/>
                <w:szCs w:val="16"/>
              </w:rPr>
            </w:pPr>
          </w:p>
        </w:tc>
        <w:tc>
          <w:tcPr>
            <w:tcW w:w="1879" w:type="dxa"/>
          </w:tcPr>
          <w:p w14:paraId="3F461774" w14:textId="5DC87506" w:rsidR="00835823" w:rsidRPr="000A2477" w:rsidRDefault="00835823" w:rsidP="00185415">
            <w:pPr>
              <w:autoSpaceDE w:val="0"/>
              <w:autoSpaceDN w:val="0"/>
              <w:adjustRightInd w:val="0"/>
              <w:ind w:left="397" w:right="340"/>
              <w:rPr>
                <w:rFonts w:ascii="Verdana" w:hAnsi="Verdana" w:cs="Calibri"/>
                <w:i/>
                <w:iCs/>
                <w:color w:val="000000"/>
                <w:sz w:val="16"/>
                <w:szCs w:val="16"/>
              </w:rPr>
            </w:pPr>
          </w:p>
        </w:tc>
      </w:tr>
    </w:tbl>
    <w:p w14:paraId="5AB45E29" w14:textId="77777777" w:rsidR="00835823" w:rsidRPr="000A2477" w:rsidRDefault="00835823" w:rsidP="00835823">
      <w:pPr>
        <w:pStyle w:val="Default"/>
        <w:ind w:left="397" w:right="340"/>
        <w:jc w:val="both"/>
        <w:rPr>
          <w:rFonts w:ascii="Verdana" w:hAnsi="Verdana"/>
          <w:i/>
          <w:iCs/>
          <w:sz w:val="20"/>
          <w:szCs w:val="20"/>
        </w:rPr>
      </w:pPr>
      <w:r w:rsidRPr="000A2477">
        <w:rPr>
          <w:rFonts w:ascii="Verdana" w:hAnsi="Verdana"/>
          <w:b/>
          <w:bCs/>
          <w:i/>
          <w:iCs/>
          <w:sz w:val="20"/>
          <w:szCs w:val="20"/>
        </w:rPr>
        <w:t xml:space="preserve">POR TANTO, SE ACUERDA por votación unánime de los presentes: </w:t>
      </w:r>
    </w:p>
    <w:p w14:paraId="2946C6FF" w14:textId="77777777" w:rsidR="00835823" w:rsidRPr="000A2477" w:rsidRDefault="00835823" w:rsidP="00835823">
      <w:pPr>
        <w:pStyle w:val="Default"/>
        <w:ind w:left="397" w:right="340"/>
        <w:jc w:val="both"/>
        <w:rPr>
          <w:rFonts w:ascii="Verdana" w:hAnsi="Verdana"/>
          <w:i/>
          <w:iCs/>
          <w:sz w:val="20"/>
          <w:szCs w:val="20"/>
        </w:rPr>
      </w:pPr>
    </w:p>
    <w:p w14:paraId="2EFE92BD" w14:textId="1082C101" w:rsidR="00835823" w:rsidRPr="000A2477" w:rsidRDefault="00835823" w:rsidP="00835823">
      <w:pPr>
        <w:pStyle w:val="Default"/>
        <w:ind w:left="397" w:right="340"/>
        <w:jc w:val="both"/>
        <w:rPr>
          <w:rFonts w:ascii="Verdana" w:hAnsi="Verdana"/>
          <w:i/>
          <w:iCs/>
          <w:sz w:val="20"/>
          <w:szCs w:val="20"/>
        </w:rPr>
      </w:pPr>
      <w:r w:rsidRPr="000A2477">
        <w:rPr>
          <w:rFonts w:ascii="Verdana" w:hAnsi="Verdana"/>
          <w:i/>
          <w:iCs/>
          <w:sz w:val="20"/>
          <w:szCs w:val="20"/>
        </w:rPr>
        <w:t xml:space="preserve">1. Otorgar un plazo razonable e improrrogable de </w:t>
      </w:r>
      <w:r w:rsidRPr="00E445A5">
        <w:rPr>
          <w:rFonts w:ascii="Verdana" w:hAnsi="Verdana"/>
          <w:b/>
          <w:bCs/>
          <w:i/>
          <w:iCs/>
          <w:sz w:val="20"/>
          <w:szCs w:val="20"/>
        </w:rPr>
        <w:t>NOVENTA días hábiles</w:t>
      </w:r>
      <w:r w:rsidRPr="000A2477">
        <w:rPr>
          <w:rFonts w:ascii="Verdana" w:hAnsi="Verdana"/>
          <w:i/>
          <w:iCs/>
          <w:sz w:val="20"/>
          <w:szCs w:val="20"/>
        </w:rPr>
        <w:t xml:space="preserve">, a partir de la notificación del presente acuerdo a cada uno de los concesionarios </w:t>
      </w:r>
      <w:r w:rsidR="00BC6D61" w:rsidRPr="000A2477">
        <w:rPr>
          <w:rFonts w:ascii="Verdana" w:hAnsi="Verdana"/>
          <w:i/>
          <w:iCs/>
          <w:sz w:val="20"/>
          <w:szCs w:val="20"/>
        </w:rPr>
        <w:t>contenidos en los oficios (…)</w:t>
      </w:r>
      <w:r w:rsidRPr="000A2477">
        <w:rPr>
          <w:rFonts w:ascii="Verdana" w:hAnsi="Verdana"/>
          <w:i/>
          <w:iCs/>
          <w:sz w:val="20"/>
          <w:szCs w:val="20"/>
        </w:rPr>
        <w:t xml:space="preserve"> </w:t>
      </w:r>
      <w:r w:rsidR="00BC6D61" w:rsidRPr="000A2477">
        <w:rPr>
          <w:rFonts w:ascii="Verdana" w:hAnsi="Verdana"/>
          <w:i/>
          <w:iCs/>
          <w:sz w:val="20"/>
          <w:szCs w:val="20"/>
        </w:rPr>
        <w:t xml:space="preserve">para que </w:t>
      </w:r>
      <w:r w:rsidRPr="000A2477">
        <w:rPr>
          <w:rFonts w:ascii="Verdana" w:hAnsi="Verdana"/>
          <w:i/>
          <w:iCs/>
          <w:sz w:val="20"/>
          <w:szCs w:val="20"/>
        </w:rPr>
        <w:t>se sometan a la renovación de sus contratos cumpliendo con ello con todos los requisitos legales correspondientes, incluido el cambio de unidad para aquellos casos en que las unidades tengan el rango de antigüedad vencido</w:t>
      </w:r>
      <w:r w:rsidR="00BC6D61" w:rsidRPr="000A2477">
        <w:rPr>
          <w:rFonts w:ascii="Verdana" w:hAnsi="Verdana"/>
          <w:i/>
          <w:iCs/>
          <w:sz w:val="20"/>
          <w:szCs w:val="20"/>
        </w:rPr>
        <w:t>. (…)</w:t>
      </w:r>
    </w:p>
    <w:p w14:paraId="50E43163" w14:textId="77777777" w:rsidR="00835823" w:rsidRPr="000A2477" w:rsidRDefault="00835823" w:rsidP="00835823">
      <w:pPr>
        <w:pStyle w:val="Default"/>
        <w:ind w:left="397" w:right="340"/>
        <w:jc w:val="both"/>
        <w:rPr>
          <w:rFonts w:ascii="Verdana" w:hAnsi="Verdana"/>
          <w:i/>
          <w:iCs/>
          <w:sz w:val="20"/>
          <w:szCs w:val="20"/>
        </w:rPr>
      </w:pPr>
    </w:p>
    <w:p w14:paraId="1A46BF9D" w14:textId="179AA59B" w:rsidR="00835823" w:rsidRPr="000A2477" w:rsidRDefault="00835823" w:rsidP="00835823">
      <w:pPr>
        <w:pStyle w:val="Default"/>
        <w:ind w:left="397" w:right="340"/>
        <w:jc w:val="both"/>
        <w:rPr>
          <w:rFonts w:ascii="Verdana" w:hAnsi="Verdana"/>
          <w:i/>
          <w:iCs/>
          <w:sz w:val="20"/>
          <w:szCs w:val="20"/>
        </w:rPr>
      </w:pPr>
      <w:r w:rsidRPr="000A2477">
        <w:rPr>
          <w:rFonts w:ascii="Verdana" w:hAnsi="Verdana"/>
          <w:i/>
          <w:iCs/>
          <w:sz w:val="20"/>
          <w:szCs w:val="20"/>
        </w:rPr>
        <w:t>DAJ 2019-000075        E</w:t>
      </w:r>
      <w:r w:rsidR="00D726B6">
        <w:rPr>
          <w:rFonts w:ascii="Verdana" w:hAnsi="Verdana"/>
          <w:i/>
          <w:iCs/>
          <w:sz w:val="20"/>
          <w:szCs w:val="20"/>
        </w:rPr>
        <w:t>.B.H.</w:t>
      </w:r>
      <w:r w:rsidRPr="000A2477">
        <w:rPr>
          <w:rFonts w:ascii="Verdana" w:hAnsi="Verdana"/>
          <w:i/>
          <w:iCs/>
          <w:sz w:val="20"/>
          <w:szCs w:val="20"/>
        </w:rPr>
        <w:t xml:space="preserve">   TSJ </w:t>
      </w:r>
      <w:r w:rsidR="00D726B6">
        <w:rPr>
          <w:rFonts w:ascii="Verdana" w:hAnsi="Verdana"/>
          <w:i/>
          <w:iCs/>
          <w:sz w:val="20"/>
          <w:szCs w:val="20"/>
        </w:rPr>
        <w:t>XXX</w:t>
      </w:r>
    </w:p>
    <w:p w14:paraId="38B616C2" w14:textId="60A41025" w:rsidR="00835823" w:rsidRPr="000A2477" w:rsidRDefault="00835823" w:rsidP="00835823">
      <w:pPr>
        <w:pStyle w:val="Default"/>
        <w:ind w:left="397" w:right="340"/>
        <w:jc w:val="both"/>
        <w:rPr>
          <w:rFonts w:ascii="Verdana" w:hAnsi="Verdana"/>
          <w:i/>
          <w:iCs/>
          <w:sz w:val="20"/>
          <w:szCs w:val="20"/>
        </w:rPr>
      </w:pPr>
    </w:p>
    <w:p w14:paraId="110C5162" w14:textId="525D7A1E" w:rsidR="00835823" w:rsidRPr="000A2477" w:rsidRDefault="00835823" w:rsidP="00835823">
      <w:pPr>
        <w:pStyle w:val="Default"/>
        <w:ind w:left="397" w:right="340"/>
        <w:jc w:val="both"/>
        <w:rPr>
          <w:rFonts w:ascii="Verdana" w:hAnsi="Verdana"/>
          <w:i/>
          <w:iCs/>
          <w:sz w:val="20"/>
          <w:szCs w:val="20"/>
        </w:rPr>
      </w:pPr>
      <w:r w:rsidRPr="000A2477">
        <w:rPr>
          <w:rFonts w:ascii="Verdana" w:hAnsi="Verdana"/>
          <w:i/>
          <w:iCs/>
          <w:sz w:val="20"/>
          <w:szCs w:val="20"/>
        </w:rPr>
        <w:t>2. Que aquellos concesionarios (as) que no finalicen su trámite de renovación dentro de los NOVENTA días hábiles anteriormente dichos, tendrán como consecuencia la cancelación de la concesión por vencimiento del plazo de conformidad con el artículo 40 inciso f) de la Ley 7969, a efectos de lo cual el Departamento de Administración de Concesiones y Permisos enviará el informe correspondiente a conocimiento de la Junta Directiva, el 31 de octubre de 2019.</w:t>
      </w:r>
    </w:p>
    <w:p w14:paraId="3004D231" w14:textId="2731B33E" w:rsidR="00835823" w:rsidRPr="000A2477" w:rsidRDefault="00835823" w:rsidP="00835823">
      <w:pPr>
        <w:pStyle w:val="Default"/>
        <w:ind w:left="397" w:right="340"/>
        <w:jc w:val="both"/>
        <w:rPr>
          <w:rFonts w:ascii="Verdana" w:hAnsi="Verdana"/>
          <w:i/>
          <w:iCs/>
          <w:sz w:val="20"/>
          <w:szCs w:val="20"/>
        </w:rPr>
      </w:pPr>
      <w:r w:rsidRPr="000A2477">
        <w:rPr>
          <w:rFonts w:ascii="Verdana" w:hAnsi="Verdana"/>
          <w:i/>
          <w:iCs/>
          <w:sz w:val="20"/>
          <w:szCs w:val="20"/>
        </w:rPr>
        <w:t>.(…)”</w:t>
      </w:r>
    </w:p>
    <w:p w14:paraId="603D7DFC" w14:textId="4400817C" w:rsidR="0039084C" w:rsidRPr="000A2477" w:rsidRDefault="0039084C" w:rsidP="0039084C">
      <w:pPr>
        <w:jc w:val="both"/>
        <w:rPr>
          <w:rFonts w:ascii="Verdana" w:hAnsi="Verdana"/>
          <w:sz w:val="22"/>
          <w:szCs w:val="22"/>
          <w:lang w:val="es-MX"/>
        </w:rPr>
      </w:pPr>
    </w:p>
    <w:p w14:paraId="39FC8F50" w14:textId="5E1AC5F2" w:rsidR="00835823" w:rsidRPr="00D726B6" w:rsidRDefault="0039084C" w:rsidP="000A2477">
      <w:pPr>
        <w:pStyle w:val="Ttulo1"/>
        <w:jc w:val="both"/>
        <w:rPr>
          <w:rFonts w:ascii="Verdana" w:hAnsi="Verdana"/>
          <w:b/>
          <w:sz w:val="22"/>
          <w:szCs w:val="22"/>
        </w:rPr>
      </w:pPr>
      <w:r w:rsidRPr="000A2477">
        <w:rPr>
          <w:rFonts w:ascii="Verdana" w:hAnsi="Verdana"/>
          <w:b/>
          <w:sz w:val="22"/>
          <w:szCs w:val="22"/>
        </w:rPr>
        <w:t>QUINTO:</w:t>
      </w:r>
      <w:r w:rsidR="000A2477" w:rsidRPr="000A2477">
        <w:rPr>
          <w:rFonts w:ascii="Verdana" w:hAnsi="Verdana"/>
          <w:b/>
          <w:sz w:val="22"/>
          <w:szCs w:val="22"/>
        </w:rPr>
        <w:t xml:space="preserve"> El acuerdo 7.12 de la Sesión Ordinaria 33-2019 del 13 de junio de 2019, </w:t>
      </w:r>
      <w:r w:rsidR="000A2477" w:rsidRPr="000A2477">
        <w:rPr>
          <w:rFonts w:ascii="Verdana" w:hAnsi="Verdana"/>
          <w:sz w:val="22"/>
          <w:szCs w:val="22"/>
        </w:rPr>
        <w:t xml:space="preserve">según acta de notificación que consta en el expediente, fue notificado al recurrente el día 17 de junio de 2019 </w:t>
      </w:r>
      <w:r w:rsidR="00916654">
        <w:rPr>
          <w:rFonts w:ascii="Verdana" w:hAnsi="Verdana"/>
          <w:sz w:val="22"/>
          <w:szCs w:val="22"/>
        </w:rPr>
        <w:t xml:space="preserve">a </w:t>
      </w:r>
      <w:r w:rsidR="000A2477" w:rsidRPr="000A2477">
        <w:rPr>
          <w:rFonts w:ascii="Verdana" w:hAnsi="Verdana"/>
          <w:sz w:val="22"/>
          <w:szCs w:val="22"/>
        </w:rPr>
        <w:t xml:space="preserve">las 11:07, al correo electrónico; </w:t>
      </w:r>
      <w:bookmarkStart w:id="1" w:name="_Hlk44065114"/>
      <w:r w:rsidR="00D726B6" w:rsidRPr="00D726B6">
        <w:rPr>
          <w:rFonts w:ascii="Verdana" w:hAnsi="Verdana"/>
          <w:bCs/>
          <w:sz w:val="22"/>
          <w:szCs w:val="22"/>
        </w:rPr>
        <w:fldChar w:fldCharType="begin"/>
      </w:r>
      <w:r w:rsidR="00D726B6" w:rsidRPr="00D726B6">
        <w:rPr>
          <w:rFonts w:ascii="Verdana" w:hAnsi="Verdana"/>
          <w:bCs/>
          <w:sz w:val="22"/>
          <w:szCs w:val="22"/>
        </w:rPr>
        <w:instrText xml:space="preserve"> HYPERLINK "mailto:xxxxxxxx@yahoo.com" </w:instrText>
      </w:r>
      <w:r w:rsidR="00D726B6" w:rsidRPr="00D726B6">
        <w:rPr>
          <w:rFonts w:ascii="Verdana" w:hAnsi="Verdana"/>
          <w:bCs/>
          <w:sz w:val="22"/>
          <w:szCs w:val="22"/>
        </w:rPr>
        <w:fldChar w:fldCharType="separate"/>
      </w:r>
      <w:r w:rsidR="00D726B6" w:rsidRPr="00D726B6">
        <w:rPr>
          <w:rStyle w:val="Hipervnculo"/>
          <w:rFonts w:ascii="Verdana" w:hAnsi="Verdana"/>
          <w:bCs/>
          <w:color w:val="auto"/>
          <w:sz w:val="22"/>
          <w:szCs w:val="22"/>
          <w:u w:val="none"/>
        </w:rPr>
        <w:t>xxxxxxxx@yahoo.com</w:t>
      </w:r>
      <w:r w:rsidR="00D726B6" w:rsidRPr="00D726B6">
        <w:rPr>
          <w:rFonts w:ascii="Verdana" w:hAnsi="Verdana"/>
          <w:bCs/>
          <w:sz w:val="22"/>
          <w:szCs w:val="22"/>
        </w:rPr>
        <w:fldChar w:fldCharType="end"/>
      </w:r>
      <w:r w:rsidR="000A2477" w:rsidRPr="00D726B6">
        <w:rPr>
          <w:rFonts w:ascii="Verdana" w:hAnsi="Verdana"/>
          <w:b/>
          <w:sz w:val="22"/>
          <w:szCs w:val="22"/>
        </w:rPr>
        <w:t xml:space="preserve"> </w:t>
      </w:r>
      <w:bookmarkEnd w:id="1"/>
      <w:r w:rsidR="000A2477" w:rsidRPr="00D726B6">
        <w:rPr>
          <w:rFonts w:ascii="Verdana" w:hAnsi="Verdana"/>
          <w:b/>
          <w:sz w:val="22"/>
          <w:szCs w:val="22"/>
        </w:rPr>
        <w:t xml:space="preserve">(ver folio </w:t>
      </w:r>
      <w:r w:rsidR="001620F4" w:rsidRPr="00D726B6">
        <w:rPr>
          <w:rFonts w:ascii="Verdana" w:hAnsi="Verdana"/>
          <w:b/>
          <w:sz w:val="22"/>
          <w:szCs w:val="22"/>
        </w:rPr>
        <w:t xml:space="preserve">30 </w:t>
      </w:r>
      <w:r w:rsidR="000A2477" w:rsidRPr="00D726B6">
        <w:rPr>
          <w:rFonts w:ascii="Verdana" w:hAnsi="Verdana"/>
          <w:b/>
          <w:sz w:val="22"/>
          <w:szCs w:val="22"/>
        </w:rPr>
        <w:t>del expediente Administrativo</w:t>
      </w:r>
      <w:r w:rsidR="00916654" w:rsidRPr="00D726B6">
        <w:rPr>
          <w:rFonts w:ascii="Verdana" w:hAnsi="Verdana"/>
          <w:b/>
          <w:sz w:val="22"/>
          <w:szCs w:val="22"/>
        </w:rPr>
        <w:t>)</w:t>
      </w:r>
      <w:r w:rsidR="000A2477" w:rsidRPr="00D726B6">
        <w:rPr>
          <w:rFonts w:ascii="Verdana" w:hAnsi="Verdana"/>
          <w:b/>
          <w:sz w:val="22"/>
          <w:szCs w:val="22"/>
        </w:rPr>
        <w:t>.</w:t>
      </w:r>
    </w:p>
    <w:p w14:paraId="52B91A2F" w14:textId="222E4E99" w:rsidR="000A2477" w:rsidRPr="000A2477" w:rsidRDefault="000A2477" w:rsidP="000A2477">
      <w:pPr>
        <w:jc w:val="both"/>
        <w:rPr>
          <w:rFonts w:ascii="Verdana" w:hAnsi="Verdana"/>
          <w:sz w:val="22"/>
          <w:szCs w:val="22"/>
          <w:lang w:val="es-ES_tradnl" w:eastAsia="es-MX"/>
        </w:rPr>
      </w:pPr>
    </w:p>
    <w:p w14:paraId="658A0F08" w14:textId="173CD8E9" w:rsidR="000A2477" w:rsidRPr="001620F4" w:rsidRDefault="000A2477" w:rsidP="000A2477">
      <w:pPr>
        <w:jc w:val="both"/>
        <w:rPr>
          <w:rFonts w:ascii="Verdana" w:hAnsi="Verdana"/>
          <w:sz w:val="22"/>
          <w:szCs w:val="22"/>
          <w:lang w:val="es-ES_tradnl" w:eastAsia="es-MX"/>
        </w:rPr>
      </w:pPr>
      <w:r w:rsidRPr="006942F0">
        <w:rPr>
          <w:rFonts w:ascii="Verdana" w:hAnsi="Verdana"/>
          <w:b/>
          <w:bCs/>
          <w:sz w:val="22"/>
          <w:szCs w:val="22"/>
          <w:lang w:val="es-ES_tradnl" w:eastAsia="es-MX"/>
        </w:rPr>
        <w:t xml:space="preserve">SEXTO: </w:t>
      </w:r>
      <w:r w:rsidRPr="006942F0">
        <w:rPr>
          <w:rFonts w:ascii="Verdana" w:hAnsi="Verdana"/>
          <w:sz w:val="22"/>
          <w:szCs w:val="22"/>
          <w:lang w:val="es-ES_tradnl" w:eastAsia="es-MX"/>
        </w:rPr>
        <w:t xml:space="preserve">En el expediente enviado a este Tribunal por el Consejo de Transporte </w:t>
      </w:r>
      <w:r w:rsidR="00E445A5">
        <w:rPr>
          <w:rFonts w:ascii="Verdana" w:hAnsi="Verdana"/>
          <w:sz w:val="22"/>
          <w:szCs w:val="22"/>
          <w:lang w:val="es-ES_tradnl" w:eastAsia="es-MX"/>
        </w:rPr>
        <w:t>Pú</w:t>
      </w:r>
      <w:r w:rsidRPr="006942F0">
        <w:rPr>
          <w:rFonts w:ascii="Verdana" w:hAnsi="Verdana"/>
          <w:sz w:val="22"/>
          <w:szCs w:val="22"/>
          <w:lang w:val="es-ES_tradnl" w:eastAsia="es-MX"/>
        </w:rPr>
        <w:t>blico consta documento denominado “</w:t>
      </w:r>
      <w:r w:rsidRPr="006942F0">
        <w:rPr>
          <w:rFonts w:ascii="Verdana" w:hAnsi="Verdana"/>
          <w:b/>
          <w:bCs/>
          <w:sz w:val="22"/>
          <w:szCs w:val="22"/>
          <w:lang w:val="es-ES_tradnl" w:eastAsia="es-MX"/>
        </w:rPr>
        <w:t>FORMULARIO PARA LA RENOVACIÓN DE LAS CONCESIONES DE TAXI</w:t>
      </w:r>
      <w:r w:rsidR="00E445A5">
        <w:rPr>
          <w:rFonts w:ascii="Verdana" w:hAnsi="Verdana"/>
          <w:b/>
          <w:bCs/>
          <w:sz w:val="22"/>
          <w:szCs w:val="22"/>
          <w:lang w:val="es-ES_tradnl" w:eastAsia="es-MX"/>
        </w:rPr>
        <w:t>S</w:t>
      </w:r>
      <w:r w:rsidRPr="006942F0">
        <w:rPr>
          <w:rFonts w:ascii="Verdana" w:hAnsi="Verdana"/>
          <w:b/>
          <w:bCs/>
          <w:sz w:val="22"/>
          <w:szCs w:val="22"/>
          <w:lang w:val="es-ES_tradnl" w:eastAsia="es-MX"/>
        </w:rPr>
        <w:t>”</w:t>
      </w:r>
      <w:r w:rsidRPr="006942F0">
        <w:rPr>
          <w:rFonts w:ascii="Verdana" w:hAnsi="Verdana"/>
          <w:sz w:val="22"/>
          <w:szCs w:val="22"/>
          <w:lang w:val="es-ES_tradnl" w:eastAsia="es-MX"/>
        </w:rPr>
        <w:t xml:space="preserve"> en la que el recurrente indica el 11 de noviembre de 2013 que para escuchar notificaciones aporta el </w:t>
      </w:r>
      <w:bookmarkStart w:id="2" w:name="_Hlk44065092"/>
      <w:r w:rsidRPr="006942F0">
        <w:rPr>
          <w:rFonts w:ascii="Verdana" w:hAnsi="Verdana"/>
          <w:b/>
          <w:bCs/>
          <w:sz w:val="22"/>
          <w:szCs w:val="22"/>
          <w:lang w:val="es-ES_tradnl" w:eastAsia="es-MX"/>
        </w:rPr>
        <w:t>Fax</w:t>
      </w:r>
      <w:r w:rsidR="00182E8E" w:rsidRPr="006942F0">
        <w:rPr>
          <w:rFonts w:ascii="Verdana" w:hAnsi="Verdana"/>
          <w:b/>
          <w:bCs/>
          <w:sz w:val="22"/>
          <w:szCs w:val="22"/>
          <w:lang w:val="es-ES_tradnl" w:eastAsia="es-MX"/>
        </w:rPr>
        <w:t xml:space="preserve"> </w:t>
      </w:r>
      <w:r w:rsidR="00D726B6">
        <w:rPr>
          <w:rFonts w:ascii="Verdana" w:hAnsi="Verdana"/>
          <w:b/>
          <w:bCs/>
          <w:sz w:val="22"/>
          <w:szCs w:val="22"/>
          <w:lang w:val="es-ES_tradnl" w:eastAsia="es-MX"/>
        </w:rPr>
        <w:t>XXXX</w:t>
      </w:r>
      <w:r w:rsidR="00182E8E" w:rsidRPr="006942F0">
        <w:rPr>
          <w:rFonts w:ascii="Verdana" w:hAnsi="Verdana"/>
          <w:b/>
          <w:bCs/>
          <w:sz w:val="22"/>
          <w:szCs w:val="22"/>
          <w:lang w:val="es-ES_tradnl" w:eastAsia="es-MX"/>
        </w:rPr>
        <w:t>-</w:t>
      </w:r>
      <w:r w:rsidR="00D726B6">
        <w:rPr>
          <w:rFonts w:ascii="Verdana" w:hAnsi="Verdana"/>
          <w:b/>
          <w:bCs/>
          <w:sz w:val="22"/>
          <w:szCs w:val="22"/>
          <w:lang w:val="es-ES_tradnl" w:eastAsia="es-MX"/>
        </w:rPr>
        <w:t>XXXX</w:t>
      </w:r>
      <w:r w:rsidR="00182E8E" w:rsidRPr="006942F0">
        <w:rPr>
          <w:rFonts w:ascii="Verdana" w:hAnsi="Verdana"/>
          <w:b/>
          <w:bCs/>
          <w:sz w:val="22"/>
          <w:szCs w:val="22"/>
          <w:lang w:val="es-ES_tradnl" w:eastAsia="es-MX"/>
        </w:rPr>
        <w:t xml:space="preserve"> y el correo electrónico </w:t>
      </w:r>
      <w:hyperlink r:id="rId6" w:history="1">
        <w:r w:rsidR="00D726B6" w:rsidRPr="00D726B6">
          <w:rPr>
            <w:rStyle w:val="Hipervnculo"/>
            <w:rFonts w:ascii="Verdana" w:hAnsi="Verdana"/>
            <w:color w:val="auto"/>
            <w:sz w:val="22"/>
            <w:szCs w:val="22"/>
            <w:u w:val="none"/>
            <w:lang w:val="es-ES_tradnl" w:eastAsia="es-MX"/>
          </w:rPr>
          <w:t>xxxxxxxxx@yahoo.com</w:t>
        </w:r>
      </w:hyperlink>
      <w:bookmarkEnd w:id="2"/>
      <w:r w:rsidR="00182E8E" w:rsidRPr="006942F0">
        <w:rPr>
          <w:rFonts w:ascii="Verdana" w:hAnsi="Verdana"/>
          <w:sz w:val="22"/>
          <w:szCs w:val="22"/>
          <w:lang w:val="es-ES_tradnl" w:eastAsia="es-MX"/>
        </w:rPr>
        <w:t xml:space="preserve"> (</w:t>
      </w:r>
      <w:r w:rsidR="00182E8E" w:rsidRPr="001620F4">
        <w:rPr>
          <w:rFonts w:ascii="Verdana" w:hAnsi="Verdana"/>
          <w:sz w:val="22"/>
          <w:szCs w:val="22"/>
          <w:lang w:val="es-ES_tradnl" w:eastAsia="es-MX"/>
        </w:rPr>
        <w:t xml:space="preserve">ver folio </w:t>
      </w:r>
      <w:r w:rsidR="001620F4" w:rsidRPr="001620F4">
        <w:rPr>
          <w:rFonts w:ascii="Verdana" w:hAnsi="Verdana"/>
          <w:sz w:val="22"/>
          <w:szCs w:val="22"/>
          <w:lang w:val="es-ES_tradnl" w:eastAsia="es-MX"/>
        </w:rPr>
        <w:t>31</w:t>
      </w:r>
      <w:r w:rsidR="00182E8E" w:rsidRPr="001620F4">
        <w:rPr>
          <w:rFonts w:ascii="Verdana" w:hAnsi="Verdana"/>
          <w:sz w:val="22"/>
          <w:szCs w:val="22"/>
          <w:lang w:val="es-ES_tradnl" w:eastAsia="es-MX"/>
        </w:rPr>
        <w:t xml:space="preserve"> del expediente </w:t>
      </w:r>
      <w:r w:rsidR="006942F0" w:rsidRPr="001620F4">
        <w:rPr>
          <w:rFonts w:ascii="Verdana" w:hAnsi="Verdana"/>
          <w:sz w:val="22"/>
          <w:szCs w:val="22"/>
          <w:lang w:val="es-ES_tradnl" w:eastAsia="es-MX"/>
        </w:rPr>
        <w:t>administrativo</w:t>
      </w:r>
      <w:r w:rsidR="00182E8E" w:rsidRPr="001620F4">
        <w:rPr>
          <w:rFonts w:ascii="Verdana" w:hAnsi="Verdana"/>
          <w:sz w:val="22"/>
          <w:szCs w:val="22"/>
          <w:lang w:val="es-ES_tradnl" w:eastAsia="es-MX"/>
        </w:rPr>
        <w:t>)</w:t>
      </w:r>
    </w:p>
    <w:p w14:paraId="364305B5" w14:textId="443EC13A" w:rsidR="000A2477" w:rsidRPr="001620F4" w:rsidRDefault="000A2477" w:rsidP="000A2477">
      <w:pPr>
        <w:rPr>
          <w:rFonts w:ascii="Verdana" w:hAnsi="Verdana"/>
          <w:sz w:val="22"/>
          <w:szCs w:val="22"/>
          <w:lang w:val="es-ES_tradnl" w:eastAsia="es-MX"/>
        </w:rPr>
      </w:pPr>
    </w:p>
    <w:p w14:paraId="399EC727" w14:textId="344A463B" w:rsidR="0039084C" w:rsidRPr="000A2477" w:rsidRDefault="00182E8E" w:rsidP="0039084C">
      <w:pPr>
        <w:jc w:val="both"/>
        <w:rPr>
          <w:rFonts w:ascii="Verdana" w:hAnsi="Verdana"/>
          <w:sz w:val="22"/>
          <w:szCs w:val="22"/>
        </w:rPr>
      </w:pPr>
      <w:r>
        <w:rPr>
          <w:rFonts w:ascii="Verdana" w:hAnsi="Verdana"/>
          <w:b/>
          <w:sz w:val="22"/>
          <w:szCs w:val="22"/>
          <w:lang w:val="es-MX"/>
        </w:rPr>
        <w:t xml:space="preserve">SETIMO: </w:t>
      </w:r>
      <w:r w:rsidR="0039084C" w:rsidRPr="000A2477">
        <w:rPr>
          <w:rFonts w:ascii="Verdana" w:hAnsi="Verdana"/>
          <w:b/>
          <w:sz w:val="22"/>
          <w:szCs w:val="22"/>
          <w:lang w:val="es-MX"/>
        </w:rPr>
        <w:t xml:space="preserve"> </w:t>
      </w:r>
      <w:r w:rsidR="0039084C" w:rsidRPr="000A2477">
        <w:rPr>
          <w:rFonts w:ascii="Verdana" w:hAnsi="Verdana"/>
          <w:sz w:val="22"/>
          <w:szCs w:val="22"/>
        </w:rPr>
        <w:t>En los procedimientos seguidos se han observado las prescripciones legales.</w:t>
      </w:r>
    </w:p>
    <w:p w14:paraId="1B4AFB5C" w14:textId="77777777" w:rsidR="0039084C" w:rsidRPr="000A2477" w:rsidRDefault="0039084C" w:rsidP="0039084C">
      <w:pPr>
        <w:jc w:val="both"/>
        <w:rPr>
          <w:rFonts w:ascii="Verdana" w:hAnsi="Verdana"/>
          <w:sz w:val="22"/>
          <w:szCs w:val="22"/>
        </w:rPr>
      </w:pPr>
    </w:p>
    <w:p w14:paraId="174CD3D3" w14:textId="77777777" w:rsidR="00D804C0" w:rsidRPr="000A2477" w:rsidRDefault="00D804C0" w:rsidP="00D804C0">
      <w:pPr>
        <w:jc w:val="both"/>
        <w:rPr>
          <w:rFonts w:ascii="Verdana" w:hAnsi="Verdana"/>
          <w:b/>
          <w:bCs/>
          <w:sz w:val="22"/>
          <w:szCs w:val="22"/>
        </w:rPr>
      </w:pPr>
      <w:r w:rsidRPr="000A2477">
        <w:rPr>
          <w:rFonts w:ascii="Verdana" w:hAnsi="Verdana"/>
          <w:b/>
          <w:bCs/>
          <w:sz w:val="22"/>
          <w:szCs w:val="22"/>
        </w:rPr>
        <w:t xml:space="preserve">Redacta el Juez Muñoz Corea. </w:t>
      </w:r>
    </w:p>
    <w:p w14:paraId="4C64D82E" w14:textId="77777777" w:rsidR="0039084C" w:rsidRPr="000A2477" w:rsidRDefault="0039084C" w:rsidP="0039084C">
      <w:pPr>
        <w:jc w:val="center"/>
        <w:rPr>
          <w:rFonts w:ascii="Verdana" w:hAnsi="Verdana"/>
          <w:b/>
          <w:sz w:val="22"/>
          <w:szCs w:val="22"/>
        </w:rPr>
      </w:pPr>
    </w:p>
    <w:p w14:paraId="0D130819" w14:textId="77777777" w:rsidR="00182E8E" w:rsidRPr="00884746" w:rsidRDefault="00182E8E" w:rsidP="00182E8E">
      <w:pPr>
        <w:spacing w:line="480" w:lineRule="auto"/>
        <w:jc w:val="center"/>
        <w:rPr>
          <w:rFonts w:ascii="Verdana" w:hAnsi="Verdana"/>
          <w:b/>
          <w:sz w:val="22"/>
          <w:szCs w:val="22"/>
        </w:rPr>
      </w:pPr>
      <w:r w:rsidRPr="00884746">
        <w:rPr>
          <w:rFonts w:ascii="Verdana" w:hAnsi="Verdana"/>
          <w:b/>
          <w:sz w:val="22"/>
          <w:szCs w:val="22"/>
        </w:rPr>
        <w:t xml:space="preserve">CONSIDERANDO </w:t>
      </w:r>
    </w:p>
    <w:p w14:paraId="2D61C946" w14:textId="77777777" w:rsidR="00182E8E" w:rsidRPr="00884746" w:rsidRDefault="00182E8E" w:rsidP="00182E8E">
      <w:pPr>
        <w:jc w:val="both"/>
        <w:rPr>
          <w:rFonts w:ascii="Verdana" w:hAnsi="Verdana"/>
          <w:smallCaps/>
          <w:sz w:val="22"/>
          <w:szCs w:val="22"/>
        </w:rPr>
      </w:pPr>
      <w:r w:rsidRPr="00884746">
        <w:rPr>
          <w:rFonts w:ascii="Verdana" w:hAnsi="Verdana"/>
          <w:b/>
          <w:sz w:val="22"/>
          <w:szCs w:val="22"/>
        </w:rPr>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recurso de apelación en 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 xml:space="preserve">rtículo 22 de la Ley Reguladora del Servicio </w:t>
      </w:r>
      <w:r w:rsidRPr="00884746">
        <w:rPr>
          <w:rFonts w:ascii="Verdana" w:hAnsi="Verdana"/>
          <w:sz w:val="22"/>
          <w:szCs w:val="22"/>
        </w:rPr>
        <w:lastRenderedPageBreak/>
        <w:t>Público de Transporte Remunerado de Personas en Vehículos en la Modalidad de Taxi, N. 7969 del 22 de diciembre de 1999</w:t>
      </w:r>
      <w:r w:rsidRPr="00884746">
        <w:rPr>
          <w:rFonts w:ascii="Verdana" w:hAnsi="Verdana"/>
          <w:smallCaps/>
          <w:sz w:val="22"/>
          <w:szCs w:val="22"/>
        </w:rPr>
        <w:t xml:space="preserve">. </w:t>
      </w:r>
    </w:p>
    <w:p w14:paraId="1B73480A" w14:textId="77777777" w:rsidR="00182E8E" w:rsidRPr="00884746" w:rsidRDefault="00182E8E" w:rsidP="00182E8E">
      <w:pPr>
        <w:jc w:val="both"/>
        <w:rPr>
          <w:rFonts w:ascii="Verdana" w:hAnsi="Verdana"/>
          <w:b/>
          <w:sz w:val="22"/>
          <w:szCs w:val="22"/>
        </w:rPr>
      </w:pPr>
    </w:p>
    <w:p w14:paraId="309F77A8" w14:textId="21383E56" w:rsidR="00182E8E" w:rsidRDefault="00182E8E" w:rsidP="00182E8E">
      <w:pPr>
        <w:jc w:val="both"/>
        <w:rPr>
          <w:rFonts w:ascii="Verdana" w:hAnsi="Verdana"/>
          <w:sz w:val="22"/>
          <w:szCs w:val="22"/>
        </w:rPr>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Pr>
          <w:rFonts w:ascii="Verdana" w:hAnsi="Verdana"/>
          <w:sz w:val="22"/>
          <w:szCs w:val="22"/>
        </w:rPr>
        <w:t xml:space="preserve">Al </w:t>
      </w:r>
      <w:r w:rsidRPr="00884746">
        <w:rPr>
          <w:rFonts w:ascii="Verdana" w:hAnsi="Verdana"/>
          <w:sz w:val="22"/>
          <w:szCs w:val="22"/>
        </w:rPr>
        <w:t xml:space="preserve">señor </w:t>
      </w:r>
      <w:r w:rsidR="00A0107B" w:rsidRPr="000A2477">
        <w:rPr>
          <w:rFonts w:ascii="Verdana" w:hAnsi="Verdana"/>
          <w:b/>
          <w:smallCaps/>
          <w:sz w:val="22"/>
          <w:szCs w:val="22"/>
        </w:rPr>
        <w:t>E</w:t>
      </w:r>
      <w:r w:rsidR="00D726B6">
        <w:rPr>
          <w:rFonts w:ascii="Verdana" w:hAnsi="Verdana"/>
          <w:b/>
          <w:smallCaps/>
          <w:sz w:val="22"/>
          <w:szCs w:val="22"/>
        </w:rPr>
        <w:t>.R.B.H.</w:t>
      </w:r>
      <w:r w:rsidR="00A0107B" w:rsidRPr="000A2477">
        <w:rPr>
          <w:rFonts w:ascii="Verdana" w:hAnsi="Verdana"/>
          <w:b/>
          <w:smallCaps/>
          <w:sz w:val="22"/>
          <w:szCs w:val="22"/>
        </w:rPr>
        <w:t>,</w:t>
      </w:r>
      <w:r w:rsidR="00A0107B" w:rsidRPr="000A2477">
        <w:rPr>
          <w:rFonts w:ascii="Verdana" w:hAnsi="Verdana"/>
          <w:b/>
          <w:sz w:val="22"/>
          <w:szCs w:val="22"/>
        </w:rPr>
        <w:t xml:space="preserve"> cédula de identidad número</w:t>
      </w:r>
      <w:r w:rsidR="00D726B6">
        <w:rPr>
          <w:rFonts w:ascii="Verdana" w:hAnsi="Verdana"/>
          <w:b/>
          <w:sz w:val="22"/>
          <w:szCs w:val="22"/>
        </w:rPr>
        <w:t xml:space="preserve"> …</w:t>
      </w:r>
      <w:r w:rsidRPr="00884746">
        <w:rPr>
          <w:rFonts w:ascii="Verdana" w:hAnsi="Verdana"/>
          <w:b/>
          <w:smallCaps/>
          <w:sz w:val="22"/>
          <w:szCs w:val="22"/>
        </w:rPr>
        <w:t>,</w:t>
      </w:r>
      <w:r w:rsidRPr="00884746">
        <w:rPr>
          <w:rFonts w:ascii="Verdana" w:hAnsi="Verdana"/>
          <w:b/>
          <w:sz w:val="22"/>
          <w:szCs w:val="22"/>
        </w:rPr>
        <w:t xml:space="preserve"> </w:t>
      </w:r>
      <w:r w:rsidRPr="00F77071">
        <w:rPr>
          <w:rFonts w:ascii="Verdana" w:hAnsi="Verdana"/>
          <w:sz w:val="22"/>
          <w:szCs w:val="22"/>
        </w:rPr>
        <w:t>le cancelaron el derecho de concesión</w:t>
      </w:r>
      <w:r w:rsidRPr="00F77071">
        <w:rPr>
          <w:rFonts w:ascii="Verdana" w:hAnsi="Verdana"/>
          <w:smallCaps/>
          <w:sz w:val="22"/>
          <w:szCs w:val="22"/>
        </w:rPr>
        <w:t xml:space="preserve">, </w:t>
      </w:r>
      <w:r w:rsidRPr="00F77071">
        <w:rPr>
          <w:rFonts w:ascii="Verdana" w:hAnsi="Verdana"/>
          <w:sz w:val="22"/>
          <w:szCs w:val="22"/>
        </w:rPr>
        <w:t>mediante el acuerdo impugnado,</w:t>
      </w:r>
      <w:r w:rsidRPr="009C4239">
        <w:rPr>
          <w:rFonts w:ascii="Verdana" w:hAnsi="Verdana"/>
          <w:sz w:val="22"/>
          <w:szCs w:val="22"/>
        </w:rPr>
        <w:t xml:space="preserve"> </w:t>
      </w:r>
      <w:r>
        <w:rPr>
          <w:rFonts w:ascii="Verdana" w:hAnsi="Verdana"/>
          <w:sz w:val="22"/>
          <w:szCs w:val="22"/>
        </w:rPr>
        <w:t>por no renovar en tiempo,</w:t>
      </w:r>
      <w:r w:rsidRPr="00F77071">
        <w:rPr>
          <w:rFonts w:ascii="Verdana" w:hAnsi="Verdana"/>
          <w:sz w:val="22"/>
          <w:szCs w:val="22"/>
        </w:rPr>
        <w:t xml:space="preserve"> por lo que cuenta con la legitimación necesaria para actuar en el presente asunto. </w:t>
      </w:r>
      <w:r w:rsidRPr="00884746">
        <w:rPr>
          <w:rFonts w:ascii="Verdana" w:hAnsi="Verdana"/>
          <w:b/>
          <w:sz w:val="22"/>
          <w:szCs w:val="22"/>
          <w:u w:val="single"/>
        </w:rPr>
        <w:t>En cuanto al plazo:</w:t>
      </w:r>
      <w:r w:rsidRPr="00884746">
        <w:rPr>
          <w:rFonts w:ascii="Verdana" w:hAnsi="Verdana"/>
          <w:sz w:val="22"/>
          <w:szCs w:val="22"/>
        </w:rPr>
        <w:t xml:space="preserve"> </w:t>
      </w:r>
      <w:r w:rsidRPr="00F54AE5">
        <w:rPr>
          <w:rFonts w:ascii="Verdana" w:hAnsi="Verdana"/>
          <w:sz w:val="22"/>
          <w:szCs w:val="22"/>
        </w:rPr>
        <w:t xml:space="preserve">Conforme al estudio efectuado </w:t>
      </w:r>
      <w:r>
        <w:rPr>
          <w:rFonts w:ascii="Verdana" w:hAnsi="Verdana"/>
          <w:sz w:val="22"/>
          <w:szCs w:val="22"/>
        </w:rPr>
        <w:t>el</w:t>
      </w:r>
      <w:r w:rsidRPr="00F54AE5">
        <w:rPr>
          <w:rFonts w:ascii="Verdana" w:hAnsi="Verdana"/>
          <w:sz w:val="22"/>
          <w:szCs w:val="22"/>
        </w:rPr>
        <w:t xml:space="preserve"> Recurso de Apelación fue presentado </w:t>
      </w:r>
      <w:r w:rsidR="006942F0">
        <w:rPr>
          <w:rFonts w:ascii="Verdana" w:hAnsi="Verdana"/>
          <w:sz w:val="22"/>
          <w:szCs w:val="22"/>
        </w:rPr>
        <w:t>fuera</w:t>
      </w:r>
      <w:r w:rsidRPr="00F54AE5">
        <w:rPr>
          <w:rFonts w:ascii="Verdana" w:hAnsi="Verdana"/>
          <w:sz w:val="22"/>
          <w:szCs w:val="22"/>
        </w:rPr>
        <w:t xml:space="preserve"> del  plazo legal establecido para tal fin, en los términos del artículo 11 de la Ley Reguladora  del  Servicio Público de Transporte Remunerado de Personas en vehículos en la modalidad de taxi, Ley N°7969, del 28 de enero del 2000</w:t>
      </w:r>
      <w:r>
        <w:rPr>
          <w:rFonts w:ascii="Verdana" w:hAnsi="Verdana"/>
          <w:sz w:val="22"/>
          <w:szCs w:val="22"/>
        </w:rPr>
        <w:t xml:space="preserve"> ya que  el acuerdo impugnado le fue notificado al recurrente el </w:t>
      </w:r>
      <w:r w:rsidR="006942F0">
        <w:rPr>
          <w:rFonts w:ascii="Verdana" w:hAnsi="Verdana"/>
          <w:sz w:val="22"/>
          <w:szCs w:val="22"/>
        </w:rPr>
        <w:t>15 de noviembre de 2019 a las 11</w:t>
      </w:r>
      <w:r w:rsidR="008F23C3">
        <w:rPr>
          <w:rFonts w:ascii="Verdana" w:hAnsi="Verdana"/>
          <w:sz w:val="22"/>
          <w:szCs w:val="22"/>
        </w:rPr>
        <w:t>:</w:t>
      </w:r>
      <w:r w:rsidR="006942F0">
        <w:rPr>
          <w:rFonts w:ascii="Verdana" w:hAnsi="Verdana"/>
          <w:sz w:val="22"/>
          <w:szCs w:val="22"/>
        </w:rPr>
        <w:t>28</w:t>
      </w:r>
      <w:r>
        <w:rPr>
          <w:rFonts w:ascii="Verdana" w:hAnsi="Verdana"/>
          <w:sz w:val="22"/>
          <w:szCs w:val="22"/>
        </w:rPr>
        <w:t xml:space="preserve">, ver folio </w:t>
      </w:r>
      <w:r w:rsidR="006942F0">
        <w:rPr>
          <w:rFonts w:ascii="Verdana" w:hAnsi="Verdana"/>
          <w:sz w:val="22"/>
          <w:szCs w:val="22"/>
        </w:rPr>
        <w:t>12</w:t>
      </w:r>
      <w:r>
        <w:rPr>
          <w:rFonts w:ascii="Verdana" w:hAnsi="Verdana"/>
          <w:sz w:val="22"/>
          <w:szCs w:val="22"/>
        </w:rPr>
        <w:t xml:space="preserve">, al correo electrónico </w:t>
      </w:r>
      <w:hyperlink r:id="rId7" w:history="1">
        <w:r w:rsidR="00D726B6" w:rsidRPr="00D726B6">
          <w:rPr>
            <w:rStyle w:val="Hipervnculo"/>
            <w:rFonts w:ascii="Verdana" w:hAnsi="Verdana"/>
            <w:color w:val="auto"/>
            <w:u w:val="none"/>
            <w:lang w:val="es-ES_tradnl" w:eastAsia="es-MX"/>
          </w:rPr>
          <w:t xml:space="preserve"> xxxxxxxx@yahoo.com</w:t>
        </w:r>
      </w:hyperlink>
      <w:r w:rsidRPr="00D726B6">
        <w:rPr>
          <w:rFonts w:ascii="Verdana" w:hAnsi="Verdana"/>
          <w:sz w:val="22"/>
          <w:szCs w:val="22"/>
        </w:rPr>
        <w:t xml:space="preserve"> y el Recurso </w:t>
      </w:r>
      <w:r w:rsidR="006942F0" w:rsidRPr="00D726B6">
        <w:rPr>
          <w:rFonts w:ascii="Verdana" w:hAnsi="Verdana"/>
          <w:sz w:val="22"/>
          <w:szCs w:val="22"/>
        </w:rPr>
        <w:t xml:space="preserve">fue presentado ante el Consejo de </w:t>
      </w:r>
      <w:r w:rsidR="006942F0">
        <w:rPr>
          <w:rFonts w:ascii="Verdana" w:hAnsi="Verdana"/>
          <w:sz w:val="22"/>
          <w:szCs w:val="22"/>
        </w:rPr>
        <w:t>Transporte Público</w:t>
      </w:r>
      <w:r>
        <w:rPr>
          <w:rFonts w:ascii="Verdana" w:hAnsi="Verdana"/>
          <w:sz w:val="22"/>
          <w:szCs w:val="22"/>
        </w:rPr>
        <w:t xml:space="preserve"> el </w:t>
      </w:r>
      <w:r w:rsidR="006942F0">
        <w:rPr>
          <w:rFonts w:ascii="Verdana" w:hAnsi="Verdana"/>
          <w:sz w:val="22"/>
          <w:szCs w:val="22"/>
        </w:rPr>
        <w:t xml:space="preserve">28 de enero de 2020 a las 2:25  por lo que debe rechazarse por extemporáneo. </w:t>
      </w:r>
    </w:p>
    <w:p w14:paraId="42D0F1A6" w14:textId="77777777" w:rsidR="008F23C3" w:rsidRDefault="008F23C3" w:rsidP="001A66D6">
      <w:pPr>
        <w:jc w:val="both"/>
        <w:rPr>
          <w:rFonts w:ascii="Verdana" w:hAnsi="Verdana"/>
          <w:sz w:val="22"/>
          <w:szCs w:val="22"/>
        </w:rPr>
      </w:pPr>
    </w:p>
    <w:p w14:paraId="0BD05684" w14:textId="1C2E99DA" w:rsidR="001A66D6" w:rsidRPr="004E41EC" w:rsidRDefault="001A66D6" w:rsidP="001A66D6">
      <w:pPr>
        <w:jc w:val="both"/>
        <w:rPr>
          <w:rFonts w:ascii="Verdana" w:hAnsi="Verdana"/>
          <w:sz w:val="22"/>
          <w:szCs w:val="22"/>
        </w:rPr>
      </w:pPr>
      <w:r w:rsidRPr="004E41EC">
        <w:rPr>
          <w:rFonts w:ascii="Verdana" w:hAnsi="Verdana"/>
          <w:sz w:val="22"/>
          <w:szCs w:val="22"/>
        </w:rPr>
        <w:t xml:space="preserve">En este sentido, el artículo 11 de la Ley </w:t>
      </w:r>
      <w:proofErr w:type="spellStart"/>
      <w:r w:rsidRPr="004E41EC">
        <w:rPr>
          <w:rFonts w:ascii="Verdana" w:hAnsi="Verdana"/>
          <w:sz w:val="22"/>
          <w:szCs w:val="22"/>
        </w:rPr>
        <w:t>N°</w:t>
      </w:r>
      <w:proofErr w:type="spellEnd"/>
      <w:r w:rsidRPr="004E41EC">
        <w:rPr>
          <w:rFonts w:ascii="Verdana" w:hAnsi="Verdana"/>
          <w:sz w:val="22"/>
          <w:szCs w:val="22"/>
        </w:rPr>
        <w:t xml:space="preserve"> 7969, establece en lo que interesa:</w:t>
      </w:r>
    </w:p>
    <w:p w14:paraId="5293B66E" w14:textId="77777777" w:rsidR="001A66D6" w:rsidRPr="004E41EC" w:rsidRDefault="001A66D6" w:rsidP="001A66D6">
      <w:pPr>
        <w:jc w:val="both"/>
        <w:rPr>
          <w:rFonts w:ascii="Verdana" w:hAnsi="Verdana"/>
          <w:sz w:val="22"/>
          <w:szCs w:val="22"/>
        </w:rPr>
      </w:pPr>
    </w:p>
    <w:p w14:paraId="07CA87CF" w14:textId="77777777" w:rsidR="001A66D6" w:rsidRPr="004E41EC" w:rsidRDefault="001A66D6" w:rsidP="001A66D6">
      <w:pPr>
        <w:jc w:val="both"/>
        <w:rPr>
          <w:rFonts w:ascii="Verdana" w:hAnsi="Verdana"/>
          <w:i/>
          <w:sz w:val="22"/>
          <w:szCs w:val="22"/>
        </w:rPr>
      </w:pPr>
      <w:r w:rsidRPr="004E41EC">
        <w:rPr>
          <w:rFonts w:ascii="Verdana" w:hAnsi="Verdana"/>
          <w:i/>
          <w:sz w:val="22"/>
          <w:szCs w:val="22"/>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p>
    <w:p w14:paraId="7FC8CE9C" w14:textId="77777777" w:rsidR="001A66D6" w:rsidRPr="004E41EC" w:rsidRDefault="001A66D6" w:rsidP="001A66D6">
      <w:pPr>
        <w:jc w:val="both"/>
        <w:rPr>
          <w:rFonts w:ascii="Verdana" w:hAnsi="Verdana"/>
          <w:sz w:val="22"/>
          <w:szCs w:val="22"/>
        </w:rPr>
      </w:pPr>
    </w:p>
    <w:p w14:paraId="36947BEE" w14:textId="3FBE55A8" w:rsidR="001A66D6" w:rsidRDefault="001A66D6" w:rsidP="00D726B6">
      <w:pPr>
        <w:jc w:val="both"/>
        <w:rPr>
          <w:rFonts w:ascii="Verdana" w:hAnsi="Verdana"/>
          <w:b/>
          <w:sz w:val="22"/>
          <w:szCs w:val="22"/>
        </w:rPr>
      </w:pPr>
      <w:r w:rsidRPr="004E41EC">
        <w:rPr>
          <w:rFonts w:ascii="Verdana" w:hAnsi="Verdana"/>
          <w:sz w:val="22"/>
          <w:szCs w:val="22"/>
        </w:rPr>
        <w:t xml:space="preserve">De conformidad con la norma transcrita anteriormente, </w:t>
      </w:r>
      <w:r>
        <w:rPr>
          <w:rFonts w:ascii="Verdana" w:hAnsi="Verdana"/>
          <w:sz w:val="22"/>
          <w:szCs w:val="22"/>
        </w:rPr>
        <w:t xml:space="preserve">y dado que </w:t>
      </w:r>
      <w:r w:rsidR="008F23C3">
        <w:rPr>
          <w:rFonts w:ascii="Verdana" w:hAnsi="Verdana"/>
          <w:sz w:val="22"/>
          <w:szCs w:val="22"/>
        </w:rPr>
        <w:t>el</w:t>
      </w:r>
      <w:r>
        <w:rPr>
          <w:rFonts w:ascii="Verdana" w:hAnsi="Verdana"/>
          <w:sz w:val="22"/>
          <w:szCs w:val="22"/>
        </w:rPr>
        <w:t xml:space="preserve"> recurrente no aporta documento alguno que respalde su dicho que había cambiado su lugar de notificaciones </w:t>
      </w:r>
      <w:r w:rsidR="008F23C3">
        <w:rPr>
          <w:rFonts w:ascii="Verdana" w:hAnsi="Verdana"/>
          <w:sz w:val="22"/>
          <w:szCs w:val="22"/>
        </w:rPr>
        <w:t xml:space="preserve">y </w:t>
      </w:r>
      <w:r>
        <w:rPr>
          <w:rFonts w:ascii="Verdana" w:hAnsi="Verdana"/>
          <w:sz w:val="22"/>
          <w:szCs w:val="22"/>
        </w:rPr>
        <w:t>que por lo tanto el n</w:t>
      </w:r>
      <w:r w:rsidR="008F23C3">
        <w:rPr>
          <w:rFonts w:ascii="Verdana" w:hAnsi="Verdana"/>
          <w:sz w:val="22"/>
          <w:szCs w:val="22"/>
        </w:rPr>
        <w:t>ú</w:t>
      </w:r>
      <w:r>
        <w:rPr>
          <w:rFonts w:ascii="Verdana" w:hAnsi="Verdana"/>
          <w:sz w:val="22"/>
          <w:szCs w:val="22"/>
        </w:rPr>
        <w:t xml:space="preserve">mero al que se le trato de notificar ya no se encontraba vigente, </w:t>
      </w:r>
      <w:r w:rsidRPr="004E41EC">
        <w:rPr>
          <w:rFonts w:ascii="Verdana" w:hAnsi="Verdana"/>
          <w:sz w:val="22"/>
          <w:szCs w:val="22"/>
        </w:rPr>
        <w:t xml:space="preserve">se determina que el recurso de </w:t>
      </w:r>
      <w:r>
        <w:rPr>
          <w:rFonts w:ascii="Verdana" w:hAnsi="Verdana"/>
          <w:sz w:val="22"/>
          <w:szCs w:val="22"/>
        </w:rPr>
        <w:t>A</w:t>
      </w:r>
      <w:r w:rsidRPr="004E41EC">
        <w:rPr>
          <w:rFonts w:ascii="Verdana" w:hAnsi="Verdana"/>
          <w:sz w:val="22"/>
          <w:szCs w:val="22"/>
        </w:rPr>
        <w:t>pelación,</w:t>
      </w:r>
      <w:r>
        <w:rPr>
          <w:rFonts w:ascii="Verdana" w:hAnsi="Verdana"/>
          <w:sz w:val="22"/>
          <w:szCs w:val="22"/>
        </w:rPr>
        <w:t xml:space="preserve"> así como la Nulidad presentada concomitantemente</w:t>
      </w:r>
      <w:r w:rsidRPr="004E41EC">
        <w:rPr>
          <w:rFonts w:ascii="Verdana" w:hAnsi="Verdana"/>
          <w:sz w:val="22"/>
          <w:szCs w:val="22"/>
        </w:rPr>
        <w:t xml:space="preserve"> ha sido presentado de manera extemporánea. </w:t>
      </w:r>
    </w:p>
    <w:p w14:paraId="7314F395" w14:textId="796339AB" w:rsidR="001A66D6" w:rsidRPr="004E41EC" w:rsidRDefault="001A66D6" w:rsidP="001A66D6">
      <w:pPr>
        <w:jc w:val="center"/>
        <w:rPr>
          <w:rFonts w:ascii="Verdana" w:hAnsi="Verdana"/>
          <w:b/>
          <w:sz w:val="22"/>
          <w:szCs w:val="22"/>
        </w:rPr>
      </w:pPr>
      <w:r w:rsidRPr="004E41EC">
        <w:rPr>
          <w:rFonts w:ascii="Verdana" w:hAnsi="Verdana"/>
          <w:b/>
          <w:sz w:val="22"/>
          <w:szCs w:val="22"/>
        </w:rPr>
        <w:t>POR TANTO</w:t>
      </w:r>
    </w:p>
    <w:p w14:paraId="05D17DD0" w14:textId="77777777" w:rsidR="001A66D6" w:rsidRPr="004E41EC" w:rsidRDefault="001A66D6" w:rsidP="001A66D6">
      <w:pPr>
        <w:jc w:val="center"/>
        <w:rPr>
          <w:rFonts w:ascii="Verdana" w:hAnsi="Verdana"/>
          <w:b/>
          <w:sz w:val="22"/>
          <w:szCs w:val="22"/>
        </w:rPr>
      </w:pPr>
    </w:p>
    <w:p w14:paraId="7C242A8F" w14:textId="7393AF6A" w:rsidR="001A66D6" w:rsidRDefault="001A66D6" w:rsidP="001A66D6">
      <w:pPr>
        <w:jc w:val="both"/>
        <w:rPr>
          <w:rFonts w:ascii="Verdana" w:hAnsi="Verdana"/>
          <w:sz w:val="22"/>
          <w:szCs w:val="22"/>
        </w:rPr>
      </w:pPr>
      <w:r w:rsidRPr="004E41EC">
        <w:rPr>
          <w:rFonts w:ascii="Verdana" w:hAnsi="Verdana"/>
          <w:b/>
          <w:sz w:val="22"/>
          <w:szCs w:val="22"/>
        </w:rPr>
        <w:t xml:space="preserve">I.- </w:t>
      </w:r>
      <w:r w:rsidRPr="004E41EC">
        <w:rPr>
          <w:rFonts w:ascii="Verdana" w:hAnsi="Verdana"/>
          <w:sz w:val="22"/>
          <w:szCs w:val="22"/>
        </w:rPr>
        <w:t xml:space="preserve">Se Rechaza </w:t>
      </w:r>
      <w:r w:rsidR="001620F4">
        <w:rPr>
          <w:rFonts w:ascii="Verdana" w:hAnsi="Verdana"/>
          <w:sz w:val="22"/>
          <w:szCs w:val="22"/>
        </w:rPr>
        <w:t xml:space="preserve">por extemporáneo </w:t>
      </w:r>
      <w:r>
        <w:rPr>
          <w:rFonts w:ascii="Verdana" w:hAnsi="Verdana"/>
          <w:sz w:val="22"/>
          <w:szCs w:val="22"/>
        </w:rPr>
        <w:t xml:space="preserve">el </w:t>
      </w:r>
      <w:r w:rsidRPr="000A2477">
        <w:rPr>
          <w:rFonts w:ascii="Verdana" w:hAnsi="Verdana"/>
          <w:b/>
          <w:smallCaps/>
          <w:sz w:val="22"/>
          <w:szCs w:val="22"/>
        </w:rPr>
        <w:t>Recurso de Apelación en subsidio y Nulidad absoluta concomitante</w:t>
      </w:r>
      <w:r w:rsidRPr="000A2477">
        <w:rPr>
          <w:rFonts w:ascii="Verdana" w:hAnsi="Verdana"/>
          <w:smallCaps/>
          <w:sz w:val="22"/>
          <w:szCs w:val="22"/>
        </w:rPr>
        <w:t xml:space="preserve">, </w:t>
      </w:r>
      <w:r w:rsidRPr="000A2477">
        <w:rPr>
          <w:rFonts w:ascii="Verdana" w:hAnsi="Verdana"/>
          <w:sz w:val="22"/>
          <w:szCs w:val="22"/>
        </w:rPr>
        <w:t xml:space="preserve">interpuestos por el señor </w:t>
      </w:r>
      <w:r w:rsidRPr="000A2477">
        <w:rPr>
          <w:rFonts w:ascii="Verdana" w:hAnsi="Verdana"/>
          <w:b/>
          <w:smallCaps/>
          <w:sz w:val="22"/>
          <w:szCs w:val="22"/>
        </w:rPr>
        <w:t>E</w:t>
      </w:r>
      <w:r w:rsidR="00D726B6">
        <w:rPr>
          <w:rFonts w:ascii="Verdana" w:hAnsi="Verdana"/>
          <w:b/>
          <w:smallCaps/>
          <w:sz w:val="22"/>
          <w:szCs w:val="22"/>
        </w:rPr>
        <w:t>.R.B.H.</w:t>
      </w:r>
      <w:r w:rsidRPr="000A2477">
        <w:rPr>
          <w:rFonts w:ascii="Verdana" w:hAnsi="Verdana"/>
          <w:b/>
          <w:smallCaps/>
          <w:sz w:val="22"/>
          <w:szCs w:val="22"/>
        </w:rPr>
        <w:t>,</w:t>
      </w:r>
      <w:r w:rsidRPr="000A2477">
        <w:rPr>
          <w:rFonts w:ascii="Verdana" w:hAnsi="Verdana"/>
          <w:b/>
          <w:sz w:val="22"/>
          <w:szCs w:val="22"/>
        </w:rPr>
        <w:t xml:space="preserve"> cédula de identidad número </w:t>
      </w:r>
      <w:r w:rsidR="00D726B6">
        <w:rPr>
          <w:rFonts w:ascii="Verdana" w:hAnsi="Verdana"/>
          <w:b/>
          <w:sz w:val="22"/>
          <w:szCs w:val="22"/>
        </w:rPr>
        <w:t>…</w:t>
      </w:r>
      <w:r w:rsidRPr="000A2477">
        <w:rPr>
          <w:rFonts w:ascii="Verdana" w:hAnsi="Verdana"/>
          <w:sz w:val="22"/>
          <w:szCs w:val="22"/>
        </w:rPr>
        <w:t>, contra</w:t>
      </w:r>
      <w:r w:rsidRPr="000A2477">
        <w:rPr>
          <w:rFonts w:ascii="Verdana" w:hAnsi="Verdana"/>
          <w:b/>
          <w:sz w:val="22"/>
          <w:szCs w:val="22"/>
        </w:rPr>
        <w:t xml:space="preserve"> </w:t>
      </w:r>
      <w:r w:rsidRPr="000A2477">
        <w:rPr>
          <w:rFonts w:ascii="Verdana" w:hAnsi="Verdana"/>
          <w:sz w:val="22"/>
          <w:szCs w:val="22"/>
        </w:rPr>
        <w:t xml:space="preserve">el </w:t>
      </w:r>
      <w:r w:rsidRPr="000A2477">
        <w:rPr>
          <w:rFonts w:ascii="Verdana" w:hAnsi="Verdana"/>
          <w:b/>
          <w:sz w:val="22"/>
          <w:szCs w:val="22"/>
        </w:rPr>
        <w:t>Artículo 7.4 de la Sesión Ordinaria 74-2019 de 14 de noviembre de 2019</w:t>
      </w:r>
      <w:r w:rsidRPr="000A2477">
        <w:rPr>
          <w:rFonts w:ascii="Verdana" w:hAnsi="Verdana"/>
          <w:sz w:val="22"/>
          <w:szCs w:val="22"/>
        </w:rPr>
        <w:t xml:space="preserve">, dictado por la </w:t>
      </w:r>
      <w:r w:rsidRPr="000A2477">
        <w:rPr>
          <w:rFonts w:ascii="Verdana" w:hAnsi="Verdana"/>
          <w:smallCaps/>
          <w:sz w:val="22"/>
          <w:szCs w:val="22"/>
        </w:rPr>
        <w:t>Junta Directiva del Consejo de Transporte Público.</w:t>
      </w:r>
    </w:p>
    <w:p w14:paraId="1281A644" w14:textId="1F93E6E3" w:rsidR="001A66D6" w:rsidRDefault="001A66D6" w:rsidP="001A66D6">
      <w:pPr>
        <w:jc w:val="both"/>
        <w:rPr>
          <w:rFonts w:ascii="Verdana" w:hAnsi="Verdana"/>
          <w:b/>
          <w:sz w:val="22"/>
          <w:szCs w:val="22"/>
        </w:rPr>
      </w:pPr>
      <w:r w:rsidRPr="004E41EC">
        <w:rPr>
          <w:rFonts w:ascii="Verdana" w:hAnsi="Verdana"/>
          <w:b/>
          <w:sz w:val="22"/>
          <w:szCs w:val="22"/>
        </w:rPr>
        <w:t xml:space="preserve">II.- </w:t>
      </w:r>
      <w:r w:rsidRPr="004E41EC">
        <w:rPr>
          <w:rFonts w:ascii="Verdana" w:hAnsi="Verdana"/>
          <w:sz w:val="22"/>
          <w:szCs w:val="22"/>
        </w:rPr>
        <w:t>De conformidad con el artículo 22, inciso c), de la citada Ley 7969, la presente resolución no tiene ulterior recurso por lo que, s</w:t>
      </w:r>
      <w:r w:rsidRPr="004E41EC">
        <w:rPr>
          <w:rFonts w:ascii="Verdana" w:hAnsi="Verdana"/>
          <w:i/>
          <w:sz w:val="22"/>
          <w:szCs w:val="22"/>
        </w:rPr>
        <w:t>e tiene por agotada la vía administrativa</w:t>
      </w:r>
      <w:r w:rsidRPr="004E41EC">
        <w:rPr>
          <w:rFonts w:ascii="Verdana" w:hAnsi="Verdana"/>
          <w:sz w:val="22"/>
          <w:szCs w:val="22"/>
        </w:rPr>
        <w:t xml:space="preserve">. </w:t>
      </w:r>
      <w:proofErr w:type="gramStart"/>
      <w:r w:rsidRPr="004E41EC">
        <w:rPr>
          <w:rFonts w:ascii="Verdana" w:hAnsi="Verdana"/>
          <w:b/>
          <w:sz w:val="22"/>
          <w:szCs w:val="22"/>
        </w:rPr>
        <w:t>NOTIFÍQUESE.-</w:t>
      </w:r>
      <w:proofErr w:type="gramEnd"/>
    </w:p>
    <w:p w14:paraId="080D5F92" w14:textId="77777777" w:rsidR="00D726B6" w:rsidRDefault="00D726B6" w:rsidP="001A66D6">
      <w:pPr>
        <w:jc w:val="both"/>
        <w:rPr>
          <w:rFonts w:ascii="Verdana" w:hAnsi="Verdana"/>
          <w:b/>
          <w:sz w:val="22"/>
          <w:szCs w:val="22"/>
        </w:rPr>
      </w:pPr>
    </w:p>
    <w:p w14:paraId="12D42AFD" w14:textId="77777777" w:rsidR="001A66D6" w:rsidRPr="004E41EC" w:rsidRDefault="001A66D6" w:rsidP="001A66D6">
      <w:pPr>
        <w:jc w:val="both"/>
        <w:rPr>
          <w:rFonts w:ascii="Verdana" w:hAnsi="Verdana"/>
          <w:b/>
          <w:sz w:val="22"/>
          <w:szCs w:val="22"/>
        </w:rPr>
      </w:pPr>
    </w:p>
    <w:p w14:paraId="201BFB06" w14:textId="557D6CED" w:rsidR="00D726B6" w:rsidRDefault="00182E8E" w:rsidP="00D726B6">
      <w:pPr>
        <w:jc w:val="center"/>
        <w:rPr>
          <w:rFonts w:ascii="Verdana" w:hAnsi="Verdana"/>
        </w:rPr>
      </w:pPr>
      <w:r>
        <w:rPr>
          <w:rFonts w:ascii="Verdana" w:hAnsi="Verdana"/>
        </w:rPr>
        <w:t>Lic. Ronald Muñoz Corea.</w:t>
      </w:r>
    </w:p>
    <w:p w14:paraId="110AF352" w14:textId="540A0984" w:rsidR="00182E8E" w:rsidRDefault="00182E8E" w:rsidP="00D726B6">
      <w:pPr>
        <w:jc w:val="center"/>
        <w:rPr>
          <w:rFonts w:ascii="Verdana" w:hAnsi="Verdana"/>
        </w:rPr>
      </w:pPr>
      <w:r w:rsidRPr="00647644">
        <w:rPr>
          <w:rFonts w:ascii="Verdana" w:hAnsi="Verdana"/>
        </w:rPr>
        <w:t>Presidente</w:t>
      </w:r>
    </w:p>
    <w:p w14:paraId="6C253A26" w14:textId="77777777" w:rsidR="00182E8E" w:rsidRPr="00647644" w:rsidRDefault="00182E8E" w:rsidP="00182E8E">
      <w:pPr>
        <w:pStyle w:val="Ttulo1"/>
        <w:rPr>
          <w:rFonts w:ascii="Verdana" w:hAnsi="Verdana"/>
          <w:sz w:val="24"/>
          <w:szCs w:val="24"/>
        </w:rPr>
      </w:pPr>
    </w:p>
    <w:p w14:paraId="6B34A7D5" w14:textId="77777777" w:rsidR="00182E8E" w:rsidRPr="00647644" w:rsidRDefault="00182E8E" w:rsidP="00182E8E">
      <w:pPr>
        <w:pStyle w:val="Ttulo1"/>
        <w:rPr>
          <w:rFonts w:ascii="Verdana" w:hAnsi="Verdana"/>
          <w:sz w:val="24"/>
          <w:szCs w:val="24"/>
        </w:rPr>
      </w:pPr>
    </w:p>
    <w:p w14:paraId="5E178319" w14:textId="77777777" w:rsidR="00182E8E" w:rsidRPr="00647644" w:rsidRDefault="00182E8E" w:rsidP="00182E8E">
      <w:pPr>
        <w:pStyle w:val="Ttulo1"/>
        <w:jc w:val="left"/>
        <w:rPr>
          <w:rFonts w:ascii="Verdana" w:hAnsi="Verdana"/>
          <w:sz w:val="24"/>
          <w:szCs w:val="24"/>
        </w:rPr>
      </w:pPr>
      <w:r>
        <w:rPr>
          <w:rFonts w:ascii="Verdana" w:hAnsi="Verdana"/>
          <w:sz w:val="24"/>
          <w:szCs w:val="24"/>
        </w:rPr>
        <w:t>L</w:t>
      </w:r>
      <w:r w:rsidRPr="00647644">
        <w:rPr>
          <w:rFonts w:ascii="Verdana" w:hAnsi="Verdana"/>
          <w:sz w:val="24"/>
          <w:szCs w:val="24"/>
        </w:rPr>
        <w:t xml:space="preserve">ic. Carlos </w:t>
      </w:r>
      <w:proofErr w:type="gramStart"/>
      <w:r w:rsidRPr="00647644">
        <w:rPr>
          <w:rFonts w:ascii="Verdana" w:hAnsi="Verdana"/>
          <w:sz w:val="24"/>
          <w:szCs w:val="24"/>
        </w:rPr>
        <w:t xml:space="preserve">Miguel  </w:t>
      </w:r>
      <w:proofErr w:type="spellStart"/>
      <w:r w:rsidRPr="00647644">
        <w:rPr>
          <w:rFonts w:ascii="Verdana" w:hAnsi="Verdana"/>
          <w:sz w:val="24"/>
          <w:szCs w:val="24"/>
        </w:rPr>
        <w:t>Portuguez</w:t>
      </w:r>
      <w:proofErr w:type="spellEnd"/>
      <w:proofErr w:type="gramEnd"/>
      <w:r w:rsidRPr="00647644">
        <w:rPr>
          <w:rFonts w:ascii="Verdana" w:hAnsi="Verdana"/>
          <w:sz w:val="24"/>
          <w:szCs w:val="24"/>
        </w:rPr>
        <w:t xml:space="preserve"> Méndez </w:t>
      </w:r>
      <w:r>
        <w:rPr>
          <w:rFonts w:ascii="Verdana" w:hAnsi="Verdana"/>
          <w:sz w:val="24"/>
          <w:szCs w:val="24"/>
        </w:rPr>
        <w:t xml:space="preserve">   Lic. Mario Quesada Aguirre </w:t>
      </w:r>
      <w:r w:rsidRPr="00647644">
        <w:rPr>
          <w:rFonts w:ascii="Verdana" w:hAnsi="Verdana"/>
          <w:sz w:val="24"/>
          <w:szCs w:val="24"/>
        </w:rPr>
        <w:t xml:space="preserve">             </w:t>
      </w:r>
    </w:p>
    <w:p w14:paraId="63301D29" w14:textId="66106F8A" w:rsidR="00182E8E" w:rsidRDefault="00182E8E" w:rsidP="00D726B6">
      <w:pPr>
        <w:ind w:left="708" w:firstLine="708"/>
      </w:pPr>
      <w:r w:rsidRPr="00647644">
        <w:rPr>
          <w:rFonts w:ascii="Verdana" w:hAnsi="Verdana"/>
          <w:b/>
        </w:rPr>
        <w:t xml:space="preserve">Juez </w:t>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proofErr w:type="spellStart"/>
      <w:r w:rsidRPr="00647644">
        <w:rPr>
          <w:rFonts w:ascii="Verdana" w:hAnsi="Verdana"/>
          <w:b/>
        </w:rPr>
        <w:t>Juez</w:t>
      </w:r>
      <w:proofErr w:type="spellEnd"/>
    </w:p>
    <w:sectPr w:rsidR="00182E8E" w:rsidSect="00F17AD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AE75D" w14:textId="77777777" w:rsidR="00CE7810" w:rsidRDefault="00CE7810" w:rsidP="0039084C">
      <w:r>
        <w:separator/>
      </w:r>
    </w:p>
  </w:endnote>
  <w:endnote w:type="continuationSeparator" w:id="0">
    <w:p w14:paraId="05CF0562" w14:textId="77777777" w:rsidR="00CE7810" w:rsidRDefault="00CE7810" w:rsidP="0039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2D563" w14:textId="77777777" w:rsidR="00CE7810" w:rsidRDefault="00CE7810" w:rsidP="0039084C">
      <w:r>
        <w:separator/>
      </w:r>
    </w:p>
  </w:footnote>
  <w:footnote w:type="continuationSeparator" w:id="0">
    <w:p w14:paraId="13F1E72A" w14:textId="77777777" w:rsidR="00CE7810" w:rsidRDefault="00CE7810" w:rsidP="00390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84C"/>
    <w:rsid w:val="00010F73"/>
    <w:rsid w:val="000518D5"/>
    <w:rsid w:val="000A2477"/>
    <w:rsid w:val="001620F4"/>
    <w:rsid w:val="00182E8E"/>
    <w:rsid w:val="001A66D6"/>
    <w:rsid w:val="0039084C"/>
    <w:rsid w:val="00410411"/>
    <w:rsid w:val="0044375B"/>
    <w:rsid w:val="006942F0"/>
    <w:rsid w:val="007C4B2E"/>
    <w:rsid w:val="00835823"/>
    <w:rsid w:val="00854AD3"/>
    <w:rsid w:val="00870F6E"/>
    <w:rsid w:val="008F23C3"/>
    <w:rsid w:val="00916654"/>
    <w:rsid w:val="009C26A4"/>
    <w:rsid w:val="00A0107B"/>
    <w:rsid w:val="00B0507B"/>
    <w:rsid w:val="00B22DEA"/>
    <w:rsid w:val="00B81520"/>
    <w:rsid w:val="00BC6D61"/>
    <w:rsid w:val="00CE7810"/>
    <w:rsid w:val="00D503E6"/>
    <w:rsid w:val="00D726B6"/>
    <w:rsid w:val="00D804C0"/>
    <w:rsid w:val="00E445A5"/>
    <w:rsid w:val="00F23D1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0796B"/>
  <w15:chartTrackingRefBased/>
  <w15:docId w15:val="{10EC49E0-C437-4955-A97D-333B0B5C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84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9084C"/>
    <w:pPr>
      <w:keepNext/>
      <w:jc w:val="center"/>
      <w:outlineLvl w:val="0"/>
    </w:pPr>
    <w:rPr>
      <w:sz w:val="28"/>
      <w:szCs w:val="20"/>
      <w:lang w:val="es-ES_tradnl" w:eastAsia="es-MX"/>
    </w:rPr>
  </w:style>
  <w:style w:type="paragraph" w:styleId="Ttulo2">
    <w:name w:val="heading 2"/>
    <w:basedOn w:val="Normal"/>
    <w:next w:val="Normal"/>
    <w:link w:val="Ttulo2Car"/>
    <w:qFormat/>
    <w:rsid w:val="0039084C"/>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084C"/>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39084C"/>
    <w:rPr>
      <w:rFonts w:ascii="Arial" w:eastAsia="Times New Roman" w:hAnsi="Arial" w:cs="Arial"/>
      <w:b/>
      <w:bCs/>
      <w:i/>
      <w:iCs/>
      <w:sz w:val="28"/>
      <w:szCs w:val="28"/>
      <w:lang w:val="es-ES" w:eastAsia="es-ES"/>
    </w:rPr>
  </w:style>
  <w:style w:type="paragraph" w:styleId="NormalWeb">
    <w:name w:val="Normal (Web)"/>
    <w:basedOn w:val="Normal"/>
    <w:rsid w:val="0039084C"/>
    <w:pPr>
      <w:spacing w:before="100" w:beforeAutospacing="1" w:after="100" w:afterAutospacing="1"/>
    </w:pPr>
  </w:style>
  <w:style w:type="paragraph" w:styleId="Textoindependiente">
    <w:name w:val="Body Text"/>
    <w:basedOn w:val="Normal"/>
    <w:link w:val="TextoindependienteCar"/>
    <w:rsid w:val="0039084C"/>
    <w:pPr>
      <w:spacing w:after="120"/>
    </w:pPr>
    <w:rPr>
      <w:rFonts w:eastAsia="SimSun"/>
    </w:rPr>
  </w:style>
  <w:style w:type="character" w:customStyle="1" w:styleId="TextoindependienteCar">
    <w:name w:val="Texto independiente Car"/>
    <w:basedOn w:val="Fuentedeprrafopredeter"/>
    <w:link w:val="Textoindependiente"/>
    <w:rsid w:val="0039084C"/>
    <w:rPr>
      <w:rFonts w:ascii="Times New Roman" w:eastAsia="SimSun" w:hAnsi="Times New Roman" w:cs="Times New Roman"/>
      <w:sz w:val="24"/>
      <w:szCs w:val="24"/>
      <w:lang w:val="es-ES" w:eastAsia="es-ES"/>
    </w:rPr>
  </w:style>
  <w:style w:type="paragraph" w:styleId="Encabezado">
    <w:name w:val="header"/>
    <w:basedOn w:val="Normal"/>
    <w:link w:val="EncabezadoCar"/>
    <w:uiPriority w:val="99"/>
    <w:unhideWhenUsed/>
    <w:rsid w:val="0039084C"/>
    <w:pPr>
      <w:tabs>
        <w:tab w:val="center" w:pos="4419"/>
        <w:tab w:val="right" w:pos="8838"/>
      </w:tabs>
    </w:pPr>
  </w:style>
  <w:style w:type="character" w:customStyle="1" w:styleId="EncabezadoCar">
    <w:name w:val="Encabezado Car"/>
    <w:basedOn w:val="Fuentedeprrafopredeter"/>
    <w:link w:val="Encabezado"/>
    <w:uiPriority w:val="99"/>
    <w:rsid w:val="0039084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9084C"/>
    <w:pPr>
      <w:tabs>
        <w:tab w:val="center" w:pos="4419"/>
        <w:tab w:val="right" w:pos="8838"/>
      </w:tabs>
    </w:pPr>
  </w:style>
  <w:style w:type="character" w:customStyle="1" w:styleId="PiedepginaCar">
    <w:name w:val="Pie de página Car"/>
    <w:basedOn w:val="Fuentedeprrafopredeter"/>
    <w:link w:val="Piedepgina"/>
    <w:uiPriority w:val="99"/>
    <w:rsid w:val="0039084C"/>
    <w:rPr>
      <w:rFonts w:ascii="Times New Roman" w:eastAsia="Times New Roman" w:hAnsi="Times New Roman" w:cs="Times New Roman"/>
      <w:sz w:val="24"/>
      <w:szCs w:val="24"/>
      <w:lang w:val="es-ES" w:eastAsia="es-ES"/>
    </w:rPr>
  </w:style>
  <w:style w:type="paragraph" w:customStyle="1" w:styleId="Default">
    <w:name w:val="Default"/>
    <w:rsid w:val="00835823"/>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0A2477"/>
    <w:rPr>
      <w:color w:val="0563C1" w:themeColor="hyperlink"/>
      <w:u w:val="single"/>
    </w:rPr>
  </w:style>
  <w:style w:type="character" w:styleId="Mencinsinresolver">
    <w:name w:val="Unresolved Mention"/>
    <w:basedOn w:val="Fuentedeprrafopredeter"/>
    <w:uiPriority w:val="99"/>
    <w:semiHidden/>
    <w:unhideWhenUsed/>
    <w:rsid w:val="000A2477"/>
    <w:rPr>
      <w:color w:val="605E5C"/>
      <w:shd w:val="clear" w:color="auto" w:fill="E1DFDD"/>
    </w:rPr>
  </w:style>
  <w:style w:type="paragraph" w:styleId="Textodeglobo">
    <w:name w:val="Balloon Text"/>
    <w:basedOn w:val="Normal"/>
    <w:link w:val="TextodegloboCar"/>
    <w:uiPriority w:val="99"/>
    <w:semiHidden/>
    <w:unhideWhenUsed/>
    <w:rsid w:val="009166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6654"/>
    <w:rPr>
      <w:rFonts w:ascii="Segoe UI" w:eastAsia="Times New Roman" w:hAnsi="Segoe UI" w:cs="Segoe UI"/>
      <w:sz w:val="18"/>
      <w:szCs w:val="18"/>
      <w:lang w:val="es-ES" w:eastAsia="es-ES"/>
    </w:rPr>
  </w:style>
  <w:style w:type="character" w:styleId="Hipervnculovisitado">
    <w:name w:val="FollowedHyperlink"/>
    <w:basedOn w:val="Fuentedeprrafopredeter"/>
    <w:uiPriority w:val="99"/>
    <w:semiHidden/>
    <w:unhideWhenUsed/>
    <w:rsid w:val="00D726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20xxxxxxxx@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xxxxx@yaho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6503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dc:description/>
  <cp:lastModifiedBy>Gerardo Vargas Argüello</cp:lastModifiedBy>
  <cp:revision>3</cp:revision>
  <cp:lastPrinted>2020-07-09T18:28:00Z</cp:lastPrinted>
  <dcterms:created xsi:type="dcterms:W3CDTF">2021-02-09T16:38:00Z</dcterms:created>
  <dcterms:modified xsi:type="dcterms:W3CDTF">2021-02-09T16:38:00Z</dcterms:modified>
</cp:coreProperties>
</file>